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A1CC4" w14:textId="77777777" w:rsidR="00D44B3D" w:rsidRPr="00D44B3D" w:rsidRDefault="00D44B3D" w:rsidP="00D44B3D">
      <w:pPr>
        <w:rPr>
          <w:rFonts w:ascii="Times New Roman" w:hAnsi="Times New Roman" w:cs="Times New Roman"/>
          <w:b/>
          <w:sz w:val="20"/>
          <w:szCs w:val="20"/>
        </w:rPr>
      </w:pPr>
      <w:r w:rsidRPr="00D44B3D">
        <w:rPr>
          <w:rFonts w:ascii="Times New Roman" w:hAnsi="Times New Roman" w:cs="Times New Roman"/>
          <w:b/>
          <w:sz w:val="20"/>
          <w:szCs w:val="20"/>
        </w:rPr>
        <w:t>dr Krzysztof Cieślikowski</w:t>
      </w:r>
    </w:p>
    <w:p w14:paraId="68FE7201" w14:textId="77777777" w:rsidR="00D44B3D" w:rsidRPr="00D44B3D" w:rsidRDefault="00D44B3D" w:rsidP="00D44B3D">
      <w:pPr>
        <w:rPr>
          <w:rFonts w:ascii="Times New Roman" w:hAnsi="Times New Roman" w:cs="Times New Roman"/>
          <w:sz w:val="20"/>
          <w:szCs w:val="20"/>
        </w:rPr>
      </w:pPr>
      <w:r w:rsidRPr="00D44B3D">
        <w:rPr>
          <w:rFonts w:ascii="Times New Roman" w:hAnsi="Times New Roman" w:cs="Times New Roman"/>
          <w:sz w:val="20"/>
          <w:szCs w:val="20"/>
        </w:rPr>
        <w:t>Akademia Wychowania Fizycznego im. Jerzego Kukuczki w Katowicach</w:t>
      </w:r>
    </w:p>
    <w:p w14:paraId="0468724C" w14:textId="77777777" w:rsidR="00D44B3D" w:rsidRPr="00D44B3D" w:rsidRDefault="00D44B3D" w:rsidP="00D44B3D">
      <w:pPr>
        <w:rPr>
          <w:rFonts w:ascii="Times New Roman" w:hAnsi="Times New Roman" w:cs="Times New Roman"/>
          <w:sz w:val="20"/>
          <w:szCs w:val="20"/>
        </w:rPr>
      </w:pPr>
      <w:r w:rsidRPr="00D44B3D">
        <w:rPr>
          <w:rFonts w:ascii="Times New Roman" w:hAnsi="Times New Roman" w:cs="Times New Roman"/>
          <w:sz w:val="20"/>
          <w:szCs w:val="20"/>
        </w:rPr>
        <w:t>Zakład Zarządzania Turystyką</w:t>
      </w:r>
    </w:p>
    <w:p w14:paraId="35F59099" w14:textId="77777777" w:rsidR="00D44B3D" w:rsidRPr="00D44B3D" w:rsidRDefault="00D44B3D" w:rsidP="00D44B3D">
      <w:pPr>
        <w:rPr>
          <w:rFonts w:ascii="Times New Roman" w:hAnsi="Times New Roman" w:cs="Times New Roman"/>
          <w:sz w:val="20"/>
          <w:szCs w:val="20"/>
        </w:rPr>
      </w:pPr>
      <w:r w:rsidRPr="00D44B3D">
        <w:rPr>
          <w:rFonts w:ascii="Times New Roman" w:hAnsi="Times New Roman" w:cs="Times New Roman"/>
          <w:sz w:val="20"/>
          <w:szCs w:val="20"/>
        </w:rPr>
        <w:t>k.cieslikowski@awf.katowice.pl</w:t>
      </w:r>
    </w:p>
    <w:p w14:paraId="28B8FFE5" w14:textId="77777777" w:rsidR="00D44B3D" w:rsidRPr="00D44B3D" w:rsidRDefault="00D44B3D" w:rsidP="00D44B3D">
      <w:pPr>
        <w:rPr>
          <w:rFonts w:ascii="Times New Roman" w:hAnsi="Times New Roman" w:cs="Times New Roman"/>
          <w:b/>
          <w:sz w:val="20"/>
          <w:szCs w:val="20"/>
        </w:rPr>
      </w:pPr>
    </w:p>
    <w:p w14:paraId="5C3DC483" w14:textId="77777777" w:rsidR="00D44B3D" w:rsidRDefault="00D44B3D" w:rsidP="00D44B3D">
      <w:pPr>
        <w:jc w:val="center"/>
        <w:rPr>
          <w:rFonts w:ascii="Times New Roman" w:hAnsi="Times New Roman" w:cs="Times New Roman"/>
          <w:b/>
        </w:rPr>
      </w:pPr>
      <w:r w:rsidRPr="00245910">
        <w:rPr>
          <w:rFonts w:ascii="Times New Roman" w:hAnsi="Times New Roman" w:cs="Times New Roman"/>
          <w:b/>
        </w:rPr>
        <w:t>Ekonomiczne skutki spotkań konferencyjnych</w:t>
      </w:r>
      <w:r>
        <w:rPr>
          <w:rFonts w:ascii="Times New Roman" w:hAnsi="Times New Roman" w:cs="Times New Roman"/>
          <w:b/>
        </w:rPr>
        <w:t xml:space="preserve"> </w:t>
      </w:r>
    </w:p>
    <w:p w14:paraId="562BD659" w14:textId="371835EC" w:rsidR="00200229" w:rsidRPr="00200229" w:rsidRDefault="00200229" w:rsidP="00200229">
      <w:pPr>
        <w:jc w:val="center"/>
        <w:rPr>
          <w:rFonts w:ascii="Times New Roman" w:hAnsi="Times New Roman" w:cs="Times New Roman"/>
          <w:b/>
          <w:color w:val="0000FF"/>
          <w:lang w:val="en-US"/>
        </w:rPr>
      </w:pPr>
      <w:r w:rsidRPr="00200229">
        <w:rPr>
          <w:rFonts w:ascii="Times New Roman" w:hAnsi="Times New Roman" w:cs="Times New Roman"/>
          <w:b/>
          <w:color w:val="0000FF"/>
          <w:lang w:val="en-US"/>
        </w:rPr>
        <w:t>The Economic Impact of Conferences</w:t>
      </w:r>
    </w:p>
    <w:p w14:paraId="065DC3C3" w14:textId="77777777" w:rsidR="00200229" w:rsidRDefault="00200229" w:rsidP="00D44B3D">
      <w:pPr>
        <w:jc w:val="center"/>
        <w:rPr>
          <w:rFonts w:ascii="Times New Roman" w:hAnsi="Times New Roman" w:cs="Times New Roman"/>
          <w:b/>
        </w:rPr>
      </w:pPr>
    </w:p>
    <w:p w14:paraId="48A8CB01" w14:textId="77777777" w:rsidR="00D44B3D" w:rsidRPr="00245910" w:rsidRDefault="00D44B3D" w:rsidP="00D44B3D">
      <w:pPr>
        <w:rPr>
          <w:rFonts w:ascii="Times New Roman" w:hAnsi="Times New Roman" w:cs="Times New Roman"/>
        </w:rPr>
      </w:pPr>
    </w:p>
    <w:p w14:paraId="0E80B10B" w14:textId="77777777" w:rsidR="00D44B3D" w:rsidRPr="005B09B6" w:rsidRDefault="00D44B3D" w:rsidP="00D44B3D">
      <w:pPr>
        <w:rPr>
          <w:rFonts w:ascii="Times New Roman" w:hAnsi="Times New Roman" w:cs="Times New Roman"/>
          <w:b/>
        </w:rPr>
      </w:pPr>
      <w:r w:rsidRPr="005B09B6">
        <w:rPr>
          <w:rFonts w:ascii="Times New Roman" w:hAnsi="Times New Roman" w:cs="Times New Roman"/>
          <w:b/>
        </w:rPr>
        <w:t>Abstrakt</w:t>
      </w:r>
    </w:p>
    <w:p w14:paraId="7A14B800" w14:textId="77777777" w:rsidR="00D44B3D" w:rsidRDefault="00D44B3D" w:rsidP="00D44B3D">
      <w:pPr>
        <w:rPr>
          <w:rFonts w:ascii="Times New Roman" w:hAnsi="Times New Roman" w:cs="Times New Roman"/>
        </w:rPr>
      </w:pPr>
    </w:p>
    <w:p w14:paraId="07E3E35F" w14:textId="16420284" w:rsidR="00D44B3D" w:rsidRPr="00EE7475" w:rsidRDefault="00D44B3D" w:rsidP="00D44B3D">
      <w:pPr>
        <w:ind w:firstLine="708"/>
        <w:jc w:val="both"/>
        <w:rPr>
          <w:rFonts w:ascii="Times New Roman" w:hAnsi="Times New Roman" w:cs="Times New Roman"/>
        </w:rPr>
      </w:pPr>
      <w:r>
        <w:rPr>
          <w:rFonts w:ascii="Times New Roman" w:hAnsi="Times New Roman" w:cs="Times New Roman"/>
        </w:rPr>
        <w:t xml:space="preserve">W ciągu ostatnich szesnastu lat w Polsce nastąpił znaczący rozwój rynku turystyki biznesowej. Prowadzone są badania tego rynku na poziomie miast, regionów, jak i ogólnokrajowym. W rozwój oferty turystyki biznesowej w Polsce </w:t>
      </w:r>
      <w:r w:rsidR="0018078C">
        <w:rPr>
          <w:rFonts w:ascii="Times New Roman" w:hAnsi="Times New Roman" w:cs="Times New Roman"/>
        </w:rPr>
        <w:t>angażują się</w:t>
      </w:r>
      <w:r>
        <w:rPr>
          <w:rFonts w:ascii="Times New Roman" w:hAnsi="Times New Roman" w:cs="Times New Roman"/>
        </w:rPr>
        <w:t xml:space="preserve"> zarówno przedsiębiorstwa turystyczne, jak i administracja samorządowa, która coraz częściej postrzega spotkania konferencyjne i kongresowe, jako znaczący produkt swojego regionu. Dla podejmowania przez nią skutecznych decyzji planistycznych, istotnym elementem obserwacji tego rynku jest oszacowanie skutków ekonomicznych planowanych spotkań konferencyjnych. Celem artykułu jest pokazan</w:t>
      </w:r>
      <w:r w:rsidRPr="00EE7475">
        <w:rPr>
          <w:rFonts w:ascii="Times New Roman" w:hAnsi="Times New Roman" w:cs="Times New Roman"/>
        </w:rPr>
        <w:t xml:space="preserve">ie złożoności produktu oferowanego na tym rynku i w ten sposób zwrócenie uwagi na konieczność szerokiego spojrzenia na proces badania ekonomicznych skutków kongresów i konferencji. Analiza wydatków delegatów pozwala </w:t>
      </w:r>
      <w:r>
        <w:rPr>
          <w:rFonts w:ascii="Times New Roman" w:hAnsi="Times New Roman" w:cs="Times New Roman"/>
        </w:rPr>
        <w:t>wyciągnąć</w:t>
      </w:r>
      <w:r w:rsidRPr="00EE7475">
        <w:rPr>
          <w:rFonts w:ascii="Times New Roman" w:hAnsi="Times New Roman" w:cs="Times New Roman"/>
        </w:rPr>
        <w:t xml:space="preserve"> wnioski związane z efektem ekonomicznym rozwoju przemysłu spotkań w regionie, które mogą być przydatne dla administracji samorządowej planującej dalsze wsparcie turystki biznesowej na swoim terenie np. poprzez celowe inwestycje w infrastrukturę ogólną czy budowę nowych obiektów spotkań, a także kampanie promocyjne regionu. </w:t>
      </w:r>
    </w:p>
    <w:p w14:paraId="4C96614B" w14:textId="77777777" w:rsidR="00D44B3D" w:rsidRPr="00EE7475" w:rsidRDefault="00D44B3D" w:rsidP="00D44B3D">
      <w:pPr>
        <w:jc w:val="both"/>
        <w:rPr>
          <w:rFonts w:ascii="Times New Roman" w:hAnsi="Times New Roman" w:cs="Times New Roman"/>
        </w:rPr>
      </w:pPr>
    </w:p>
    <w:p w14:paraId="401F5369" w14:textId="77777777" w:rsidR="00D44B3D" w:rsidRPr="00EE7475" w:rsidRDefault="00D44B3D" w:rsidP="00D44B3D">
      <w:pPr>
        <w:jc w:val="both"/>
        <w:rPr>
          <w:rFonts w:ascii="Times New Roman" w:hAnsi="Times New Roman" w:cs="Times New Roman"/>
        </w:rPr>
      </w:pPr>
      <w:r w:rsidRPr="00EE7475">
        <w:rPr>
          <w:rFonts w:ascii="Times New Roman" w:hAnsi="Times New Roman" w:cs="Times New Roman"/>
        </w:rPr>
        <w:t xml:space="preserve">Słowa kluczowe: przemysł spotkań, badania rynkowe, </w:t>
      </w:r>
      <w:r>
        <w:rPr>
          <w:rFonts w:ascii="Times New Roman" w:hAnsi="Times New Roman" w:cs="Times New Roman"/>
        </w:rPr>
        <w:t>turystyka biznesowa</w:t>
      </w:r>
      <w:r w:rsidRPr="00EE7475">
        <w:rPr>
          <w:rFonts w:ascii="Times New Roman" w:hAnsi="Times New Roman" w:cs="Times New Roman"/>
        </w:rPr>
        <w:t>.</w:t>
      </w:r>
    </w:p>
    <w:p w14:paraId="0CCFC2D5" w14:textId="77777777" w:rsidR="00D44B3D" w:rsidRPr="00EE7475" w:rsidRDefault="00D44B3D" w:rsidP="00D44B3D">
      <w:pPr>
        <w:jc w:val="both"/>
        <w:rPr>
          <w:rFonts w:ascii="Times New Roman" w:hAnsi="Times New Roman" w:cs="Times New Roman"/>
        </w:rPr>
      </w:pPr>
    </w:p>
    <w:p w14:paraId="19721722" w14:textId="77777777" w:rsidR="00D44B3D" w:rsidRPr="00EE7475" w:rsidRDefault="00D44B3D" w:rsidP="00D44B3D">
      <w:pPr>
        <w:jc w:val="both"/>
        <w:rPr>
          <w:rFonts w:ascii="Times New Roman" w:hAnsi="Times New Roman" w:cs="Times New Roman"/>
          <w:b/>
          <w:lang w:val="en-US"/>
        </w:rPr>
      </w:pPr>
      <w:r w:rsidRPr="00EE7475">
        <w:rPr>
          <w:rFonts w:ascii="Times New Roman" w:hAnsi="Times New Roman" w:cs="Times New Roman"/>
          <w:b/>
          <w:lang w:val="en-US"/>
        </w:rPr>
        <w:t>Abstract</w:t>
      </w:r>
    </w:p>
    <w:p w14:paraId="48EE3E34" w14:textId="77777777" w:rsidR="00D44B3D" w:rsidRPr="00EE7475" w:rsidRDefault="00D44B3D" w:rsidP="00D44B3D">
      <w:pPr>
        <w:jc w:val="both"/>
        <w:rPr>
          <w:rFonts w:ascii="Times New Roman" w:hAnsi="Times New Roman" w:cs="Times New Roman"/>
          <w:lang w:val="en-US"/>
        </w:rPr>
      </w:pPr>
    </w:p>
    <w:p w14:paraId="76D53C56" w14:textId="77777777" w:rsidR="00D44B3D" w:rsidRPr="00EE7475" w:rsidRDefault="00D44B3D" w:rsidP="00D44B3D">
      <w:pPr>
        <w:ind w:firstLine="708"/>
        <w:jc w:val="both"/>
        <w:rPr>
          <w:rFonts w:ascii="Times New Roman" w:hAnsi="Times New Roman" w:cs="Times New Roman"/>
          <w:lang w:val="en-US"/>
        </w:rPr>
      </w:pPr>
      <w:r w:rsidRPr="00EE7475">
        <w:rPr>
          <w:rFonts w:ascii="Times New Roman" w:hAnsi="Times New Roman" w:cs="Times New Roman"/>
          <w:lang w:val="en-US"/>
        </w:rPr>
        <w:t>There has been a significant development of business tourism market for sixteen years in Poland. During this time there was many market researches on cities, regions and national area. In the development of business tourism offer in Poland are involved both tourism businesses and local government, which is increasingly seen meeting rooms and conference as a significant product of their region. To make it effective planning decisions, it is very important to estimate the economic impact of the conference meetings. The article shows the complexity of the products offered on the conference market. It is necessary to have a a broad perspective on the problem of the economic impact of congresses and conferences. Analysis of delegates' expenses allows preliminary conclusions related to the effect of the economic development of the meetings industry in the region, which can be useful for local government planning to further support the development of</w:t>
      </w:r>
      <w:r>
        <w:rPr>
          <w:rFonts w:ascii="Times New Roman" w:hAnsi="Times New Roman" w:cs="Times New Roman"/>
          <w:lang w:val="en-US"/>
        </w:rPr>
        <w:t xml:space="preserve"> business tourism in their area</w:t>
      </w:r>
      <w:r w:rsidRPr="00EE7475">
        <w:rPr>
          <w:rFonts w:ascii="Times New Roman" w:hAnsi="Times New Roman" w:cs="Times New Roman"/>
          <w:lang w:val="en-US"/>
        </w:rPr>
        <w:t>, e.g. through targeted investments in infrastructure and general construction of new meetings and campaigns promotional region.</w:t>
      </w:r>
    </w:p>
    <w:p w14:paraId="6D789B36" w14:textId="77777777" w:rsidR="00D44B3D" w:rsidRPr="00EE7475" w:rsidRDefault="00D44B3D" w:rsidP="00D44B3D">
      <w:pPr>
        <w:jc w:val="both"/>
        <w:rPr>
          <w:rFonts w:ascii="Times New Roman" w:hAnsi="Times New Roman" w:cs="Times New Roman"/>
          <w:lang w:val="en-US"/>
        </w:rPr>
      </w:pPr>
    </w:p>
    <w:p w14:paraId="46E75D14" w14:textId="77777777" w:rsidR="00D44B3D" w:rsidRPr="00EE7475" w:rsidRDefault="00D44B3D" w:rsidP="00D44B3D">
      <w:pPr>
        <w:jc w:val="both"/>
        <w:rPr>
          <w:rFonts w:ascii="Times New Roman" w:hAnsi="Times New Roman" w:cs="Times New Roman"/>
          <w:lang w:val="en-US"/>
        </w:rPr>
      </w:pPr>
      <w:r w:rsidRPr="00EE7475">
        <w:rPr>
          <w:rFonts w:ascii="Times New Roman" w:hAnsi="Times New Roman" w:cs="Times New Roman"/>
          <w:lang w:val="en-US"/>
        </w:rPr>
        <w:t>Keywords: industry meetings, market research, business tourism</w:t>
      </w:r>
    </w:p>
    <w:p w14:paraId="08D317EB" w14:textId="77777777" w:rsidR="00FD7009" w:rsidRDefault="00FD7009">
      <w:pPr>
        <w:rPr>
          <w:rFonts w:ascii="Times New Roman" w:hAnsi="Times New Roman" w:cs="Times New Roman"/>
        </w:rPr>
      </w:pPr>
    </w:p>
    <w:p w14:paraId="39910E0C" w14:textId="5DB8C5C6" w:rsidR="0091053A" w:rsidRDefault="0091053A">
      <w:pPr>
        <w:rPr>
          <w:rFonts w:ascii="Times New Roman" w:hAnsi="Times New Roman" w:cs="Times New Roman"/>
        </w:rPr>
      </w:pPr>
      <w:r>
        <w:rPr>
          <w:rFonts w:ascii="Times New Roman" w:hAnsi="Times New Roman" w:cs="Times New Roman"/>
        </w:rPr>
        <w:br w:type="page"/>
      </w:r>
    </w:p>
    <w:p w14:paraId="148822E9" w14:textId="68ED5B00" w:rsidR="003001E7" w:rsidRPr="00536559" w:rsidRDefault="0091053A" w:rsidP="00536559">
      <w:pPr>
        <w:spacing w:line="360" w:lineRule="auto"/>
        <w:rPr>
          <w:rFonts w:ascii="Times New Roman" w:hAnsi="Times New Roman" w:cs="Times New Roman"/>
          <w:b/>
        </w:rPr>
      </w:pPr>
      <w:r w:rsidRPr="00536559">
        <w:rPr>
          <w:rFonts w:ascii="Times New Roman" w:hAnsi="Times New Roman" w:cs="Times New Roman"/>
          <w:b/>
        </w:rPr>
        <w:lastRenderedPageBreak/>
        <w:t>Wprowadzenie</w:t>
      </w:r>
    </w:p>
    <w:p w14:paraId="1EFD9A5E" w14:textId="0C9F295D" w:rsidR="00FF6905" w:rsidRPr="00FF6905" w:rsidRDefault="00FF6905" w:rsidP="00221A17">
      <w:pPr>
        <w:spacing w:line="360" w:lineRule="auto"/>
        <w:ind w:firstLine="708"/>
        <w:jc w:val="both"/>
        <w:rPr>
          <w:rFonts w:ascii="Times New Roman" w:hAnsi="Times New Roman" w:cs="Times New Roman"/>
        </w:rPr>
      </w:pPr>
      <w:r w:rsidRPr="00FF6905">
        <w:rPr>
          <w:rFonts w:ascii="Times New Roman" w:hAnsi="Times New Roman" w:cs="Times New Roman"/>
        </w:rPr>
        <w:t xml:space="preserve">Turystyka biznesowa to dynamicznie rozwijający się sektor turystyki. Rozwój ten związany jest z rosnącą podażą obiektów spotkań, coraz bardziej dostępnymi i szybszymi środkami transportu, procesem globalizacji rożnych sfer życia społeczno-gospodarczego, rosnącą potrzebą wymiany informacji naukowej i specjalistycznej. Wiedza, kontakty interpersonalne stały się dla wielu przedsiębiorstw i instytucji ważniejszym czynnikiem rozwoju w konkurencyjnym otoczeniu niż zasoby materialne. </w:t>
      </w:r>
    </w:p>
    <w:p w14:paraId="3B3D7255" w14:textId="466E099F" w:rsidR="000F78FE" w:rsidRDefault="00FF6905" w:rsidP="00221A17">
      <w:pPr>
        <w:spacing w:line="360" w:lineRule="auto"/>
        <w:ind w:firstLine="708"/>
        <w:jc w:val="both"/>
        <w:rPr>
          <w:rFonts w:ascii="Times New Roman" w:hAnsi="Times New Roman" w:cs="Times New Roman"/>
        </w:rPr>
      </w:pPr>
      <w:r>
        <w:rPr>
          <w:rFonts w:ascii="Times New Roman" w:hAnsi="Times New Roman" w:cs="Times New Roman"/>
        </w:rPr>
        <w:t xml:space="preserve">W </w:t>
      </w:r>
      <w:r w:rsidR="0091053A">
        <w:rPr>
          <w:rFonts w:ascii="Times New Roman" w:hAnsi="Times New Roman" w:cs="Times New Roman"/>
        </w:rPr>
        <w:t xml:space="preserve">Polsce </w:t>
      </w:r>
      <w:r>
        <w:rPr>
          <w:rFonts w:ascii="Times New Roman" w:hAnsi="Times New Roman" w:cs="Times New Roman"/>
        </w:rPr>
        <w:t xml:space="preserve">po roku 1989 </w:t>
      </w:r>
      <w:r w:rsidR="0091053A">
        <w:rPr>
          <w:rFonts w:ascii="Times New Roman" w:hAnsi="Times New Roman" w:cs="Times New Roman"/>
        </w:rPr>
        <w:t>nastąpił znacz</w:t>
      </w:r>
      <w:r>
        <w:rPr>
          <w:rFonts w:ascii="Times New Roman" w:hAnsi="Times New Roman" w:cs="Times New Roman"/>
        </w:rPr>
        <w:t>ący rozwój turystyki biznesowej co związane jest m.in</w:t>
      </w:r>
      <w:r w:rsidR="0002026E">
        <w:rPr>
          <w:rFonts w:ascii="Times New Roman" w:hAnsi="Times New Roman" w:cs="Times New Roman"/>
        </w:rPr>
        <w:t>. ze mianami gospodarczymi i politycznymi</w:t>
      </w:r>
      <w:r>
        <w:rPr>
          <w:rFonts w:ascii="Times New Roman" w:hAnsi="Times New Roman" w:cs="Times New Roman"/>
        </w:rPr>
        <w:t xml:space="preserve">. W 1998 r. sformalizowano </w:t>
      </w:r>
      <w:r w:rsidR="0002026E">
        <w:rPr>
          <w:rFonts w:ascii="Times New Roman" w:hAnsi="Times New Roman" w:cs="Times New Roman"/>
        </w:rPr>
        <w:t xml:space="preserve">ten rozwój nadając turystyce biznesowej </w:t>
      </w:r>
      <w:r>
        <w:rPr>
          <w:rFonts w:ascii="Times New Roman" w:hAnsi="Times New Roman" w:cs="Times New Roman"/>
        </w:rPr>
        <w:t>statut jednego z pięciu markowych produktów turystycznych kraju.</w:t>
      </w:r>
      <w:r w:rsidR="0091053A">
        <w:rPr>
          <w:rFonts w:ascii="Times New Roman" w:hAnsi="Times New Roman" w:cs="Times New Roman"/>
        </w:rPr>
        <w:t xml:space="preserve"> </w:t>
      </w:r>
      <w:r w:rsidR="0002026E">
        <w:rPr>
          <w:rFonts w:ascii="Times New Roman" w:hAnsi="Times New Roman" w:cs="Times New Roman"/>
        </w:rPr>
        <w:t>Od tego czasu p</w:t>
      </w:r>
      <w:r w:rsidR="0091053A">
        <w:rPr>
          <w:rFonts w:ascii="Times New Roman" w:hAnsi="Times New Roman" w:cs="Times New Roman"/>
        </w:rPr>
        <w:t xml:space="preserve">rzybyło wiele nowych obiektów konferencyjnych (np.: obiektów hotelowych, wielofunkcyjnych obiektów z salami konferencyjnymi) a istniejące dostosowano do wymagań współczesnego klienta i uczestnika spotkań. W rozwój oferty konferencyjnej na swoim terenie zaangażowane są zarówno przedsiębiorstwa turystyczne, jak i administracja samorządowa, która zaczęła postrzegać </w:t>
      </w:r>
      <w:r w:rsidR="000F78FE">
        <w:rPr>
          <w:rFonts w:ascii="Times New Roman" w:hAnsi="Times New Roman" w:cs="Times New Roman"/>
        </w:rPr>
        <w:t>turystykę biznesową</w:t>
      </w:r>
      <w:r w:rsidR="0091053A">
        <w:rPr>
          <w:rFonts w:ascii="Times New Roman" w:hAnsi="Times New Roman" w:cs="Times New Roman"/>
        </w:rPr>
        <w:t>, jako znaczący produkt regionu. W związku z tym na terenie Polski (szczególnie w miastach wojewódzkich) zauważyć m</w:t>
      </w:r>
      <w:r w:rsidR="000F78FE">
        <w:rPr>
          <w:rFonts w:ascii="Times New Roman" w:hAnsi="Times New Roman" w:cs="Times New Roman"/>
        </w:rPr>
        <w:t>ożna spektakularne inwestycje w </w:t>
      </w:r>
      <w:r w:rsidR="0002026E">
        <w:rPr>
          <w:rFonts w:ascii="Times New Roman" w:hAnsi="Times New Roman" w:cs="Times New Roman"/>
        </w:rPr>
        <w:t>infrastrukturę ogólną (szczególnie komunikacyjną służącą także dla organizacji konferencji)</w:t>
      </w:r>
      <w:r w:rsidR="000F78FE">
        <w:rPr>
          <w:rFonts w:ascii="Times New Roman" w:hAnsi="Times New Roman" w:cs="Times New Roman"/>
        </w:rPr>
        <w:t>,</w:t>
      </w:r>
      <w:r w:rsidR="0091053A">
        <w:rPr>
          <w:rFonts w:ascii="Times New Roman" w:hAnsi="Times New Roman" w:cs="Times New Roman"/>
        </w:rPr>
        <w:t xml:space="preserve"> jak i obiekty spotkań, </w:t>
      </w:r>
      <w:r w:rsidR="000F78FE">
        <w:rPr>
          <w:rFonts w:ascii="Times New Roman" w:hAnsi="Times New Roman" w:cs="Times New Roman"/>
        </w:rPr>
        <w:t xml:space="preserve">które są </w:t>
      </w:r>
      <w:r w:rsidR="0091053A">
        <w:rPr>
          <w:rFonts w:ascii="Times New Roman" w:hAnsi="Times New Roman" w:cs="Times New Roman"/>
        </w:rPr>
        <w:t xml:space="preserve">inicjowane i realizowane przez administracje samorządowe. </w:t>
      </w:r>
    </w:p>
    <w:p w14:paraId="16D6CC97" w14:textId="45900454" w:rsidR="000F78FE" w:rsidRDefault="0002026E" w:rsidP="00221A17">
      <w:pPr>
        <w:spacing w:line="360" w:lineRule="auto"/>
        <w:ind w:firstLine="708"/>
        <w:jc w:val="both"/>
        <w:rPr>
          <w:rFonts w:ascii="Times New Roman" w:hAnsi="Times New Roman" w:cs="Times New Roman"/>
        </w:rPr>
      </w:pPr>
      <w:r>
        <w:rPr>
          <w:rFonts w:ascii="Times New Roman" w:hAnsi="Times New Roman" w:cs="Times New Roman"/>
        </w:rPr>
        <w:t xml:space="preserve">Spotkania konferencyjne i kongresowe to produkty złożone z bardzo wielu usług, wymagają współpracy wielu dostawców i budowania partnerskich relacji ze zleceniodawcami, na długo przed realizacją wydarzenia biznesowego. Podejmowane są także badania </w:t>
      </w:r>
      <w:r w:rsidR="0091053A">
        <w:rPr>
          <w:rFonts w:ascii="Times New Roman" w:hAnsi="Times New Roman" w:cs="Times New Roman"/>
        </w:rPr>
        <w:t xml:space="preserve">tego rynku, </w:t>
      </w:r>
      <w:r>
        <w:rPr>
          <w:rFonts w:ascii="Times New Roman" w:hAnsi="Times New Roman" w:cs="Times New Roman"/>
        </w:rPr>
        <w:t xml:space="preserve">jednak z uwagi na złożoność procesu powstawania produktu, </w:t>
      </w:r>
      <w:r w:rsidR="0091053A">
        <w:rPr>
          <w:rFonts w:ascii="Times New Roman" w:hAnsi="Times New Roman" w:cs="Times New Roman"/>
        </w:rPr>
        <w:t>wydaje się</w:t>
      </w:r>
      <w:r w:rsidR="000F78FE">
        <w:rPr>
          <w:rFonts w:ascii="Times New Roman" w:hAnsi="Times New Roman" w:cs="Times New Roman"/>
        </w:rPr>
        <w:t>,</w:t>
      </w:r>
      <w:r w:rsidR="0091053A">
        <w:rPr>
          <w:rFonts w:ascii="Times New Roman" w:hAnsi="Times New Roman" w:cs="Times New Roman"/>
        </w:rPr>
        <w:t xml:space="preserve"> że </w:t>
      </w:r>
      <w:r w:rsidR="00092A1A">
        <w:rPr>
          <w:rFonts w:ascii="Times New Roman" w:hAnsi="Times New Roman" w:cs="Times New Roman"/>
        </w:rPr>
        <w:t>badania te</w:t>
      </w:r>
      <w:r w:rsidR="0091053A">
        <w:rPr>
          <w:rFonts w:ascii="Times New Roman" w:hAnsi="Times New Roman" w:cs="Times New Roman"/>
        </w:rPr>
        <w:t xml:space="preserve"> nie </w:t>
      </w:r>
      <w:r w:rsidR="000F78FE">
        <w:rPr>
          <w:rFonts w:ascii="Times New Roman" w:hAnsi="Times New Roman" w:cs="Times New Roman"/>
        </w:rPr>
        <w:t xml:space="preserve">obejmują wszystkich </w:t>
      </w:r>
      <w:r w:rsidR="0091053A">
        <w:rPr>
          <w:rFonts w:ascii="Times New Roman" w:hAnsi="Times New Roman" w:cs="Times New Roman"/>
        </w:rPr>
        <w:t xml:space="preserve">ekonomicznych </w:t>
      </w:r>
      <w:r>
        <w:rPr>
          <w:rFonts w:ascii="Times New Roman" w:hAnsi="Times New Roman" w:cs="Times New Roman"/>
        </w:rPr>
        <w:t>aspektów</w:t>
      </w:r>
      <w:r w:rsidR="000F78FE">
        <w:rPr>
          <w:rFonts w:ascii="Times New Roman" w:hAnsi="Times New Roman" w:cs="Times New Roman"/>
        </w:rPr>
        <w:t xml:space="preserve"> </w:t>
      </w:r>
      <w:r w:rsidR="0091053A">
        <w:rPr>
          <w:rFonts w:ascii="Times New Roman" w:hAnsi="Times New Roman" w:cs="Times New Roman"/>
        </w:rPr>
        <w:t xml:space="preserve">rozwoju </w:t>
      </w:r>
      <w:r>
        <w:rPr>
          <w:rFonts w:ascii="Times New Roman" w:hAnsi="Times New Roman" w:cs="Times New Roman"/>
        </w:rPr>
        <w:t>turystyki biznesowej</w:t>
      </w:r>
      <w:r w:rsidR="0091053A">
        <w:rPr>
          <w:rFonts w:ascii="Times New Roman" w:hAnsi="Times New Roman" w:cs="Times New Roman"/>
        </w:rPr>
        <w:t xml:space="preserve"> na danym terenie</w:t>
      </w:r>
      <w:r>
        <w:rPr>
          <w:rFonts w:ascii="Times New Roman" w:hAnsi="Times New Roman" w:cs="Times New Roman"/>
        </w:rPr>
        <w:t xml:space="preserve">. </w:t>
      </w:r>
      <w:r w:rsidR="00092A1A">
        <w:rPr>
          <w:rFonts w:ascii="Times New Roman" w:hAnsi="Times New Roman" w:cs="Times New Roman"/>
        </w:rPr>
        <w:t xml:space="preserve">Celem artykułu jest </w:t>
      </w:r>
      <w:r w:rsidR="008C15A9">
        <w:rPr>
          <w:rFonts w:ascii="Times New Roman" w:hAnsi="Times New Roman" w:cs="Times New Roman"/>
        </w:rPr>
        <w:t>pokazanie</w:t>
      </w:r>
      <w:r w:rsidR="00092A1A">
        <w:rPr>
          <w:rFonts w:ascii="Times New Roman" w:hAnsi="Times New Roman" w:cs="Times New Roman"/>
        </w:rPr>
        <w:t>, iż d</w:t>
      </w:r>
      <w:r w:rsidR="000F78FE">
        <w:rPr>
          <w:rFonts w:ascii="Times New Roman" w:hAnsi="Times New Roman" w:cs="Times New Roman"/>
        </w:rPr>
        <w:t xml:space="preserve">la ich pełnego oszacowania </w:t>
      </w:r>
      <w:r w:rsidR="00092A1A">
        <w:rPr>
          <w:rFonts w:ascii="Times New Roman" w:hAnsi="Times New Roman" w:cs="Times New Roman"/>
        </w:rPr>
        <w:t xml:space="preserve">w </w:t>
      </w:r>
      <w:r w:rsidR="008C15A9">
        <w:rPr>
          <w:rFonts w:ascii="Times New Roman" w:hAnsi="Times New Roman" w:cs="Times New Roman"/>
        </w:rPr>
        <w:t>analizach tego rynku należy objąć</w:t>
      </w:r>
      <w:r w:rsidR="000F78FE">
        <w:rPr>
          <w:rFonts w:ascii="Times New Roman" w:hAnsi="Times New Roman" w:cs="Times New Roman"/>
        </w:rPr>
        <w:t xml:space="preserve">: </w:t>
      </w:r>
      <w:r>
        <w:rPr>
          <w:rFonts w:ascii="Times New Roman" w:hAnsi="Times New Roman" w:cs="Times New Roman"/>
        </w:rPr>
        <w:t>wydatki na inwestycję</w:t>
      </w:r>
      <w:r w:rsidR="000F78FE">
        <w:rPr>
          <w:rFonts w:ascii="Times New Roman" w:hAnsi="Times New Roman" w:cs="Times New Roman"/>
        </w:rPr>
        <w:t xml:space="preserve"> w infrastrukturę służąca do organizacji oraz obsługi konferencji i kongresów, wydatki zleceniodawców spotkań konferencyjnych w miejscowości, wydatki delegatów (zarówno w obiekcie konferencyjnym jak i w miejscowości).</w:t>
      </w:r>
    </w:p>
    <w:p w14:paraId="71F0C20E" w14:textId="151139CA" w:rsidR="000F78FE" w:rsidRDefault="0091053A" w:rsidP="00221A17">
      <w:pPr>
        <w:spacing w:line="360" w:lineRule="auto"/>
        <w:ind w:firstLine="708"/>
        <w:jc w:val="both"/>
        <w:rPr>
          <w:rFonts w:ascii="Times New Roman" w:hAnsi="Times New Roman" w:cs="Times New Roman"/>
        </w:rPr>
      </w:pPr>
      <w:r>
        <w:rPr>
          <w:rFonts w:ascii="Times New Roman" w:hAnsi="Times New Roman" w:cs="Times New Roman"/>
        </w:rPr>
        <w:t>Autor w artykule porządkuje podstawowe pojęcia związane z turystką biznesową, dokonuje krótkiej charakterystyki rynku spotkań konferencyjnych (strony podażowej i popytowej) i przedstawia przedmiot transakcji.</w:t>
      </w:r>
      <w:r w:rsidR="00092A1A">
        <w:rPr>
          <w:rFonts w:ascii="Times New Roman" w:hAnsi="Times New Roman" w:cs="Times New Roman"/>
        </w:rPr>
        <w:t xml:space="preserve"> Następnie dokonuje</w:t>
      </w:r>
      <w:r>
        <w:rPr>
          <w:rFonts w:ascii="Times New Roman" w:hAnsi="Times New Roman" w:cs="Times New Roman"/>
        </w:rPr>
        <w:t xml:space="preserve"> przeglądu badań tego rynku na świecie i w Polsce z uwzględnieniem aspektu ekonomicznego spotkań konferencyjnych. </w:t>
      </w:r>
    </w:p>
    <w:p w14:paraId="65B1A35D" w14:textId="0599B917" w:rsidR="0091053A" w:rsidRDefault="0091053A" w:rsidP="00221A17">
      <w:pPr>
        <w:spacing w:line="360" w:lineRule="auto"/>
        <w:ind w:firstLine="708"/>
        <w:jc w:val="both"/>
        <w:rPr>
          <w:rFonts w:ascii="Times New Roman" w:hAnsi="Times New Roman" w:cs="Times New Roman"/>
        </w:rPr>
      </w:pPr>
      <w:r>
        <w:rPr>
          <w:rFonts w:ascii="Times New Roman" w:hAnsi="Times New Roman" w:cs="Times New Roman"/>
        </w:rPr>
        <w:t xml:space="preserve">Badania </w:t>
      </w:r>
      <w:r w:rsidR="008C15A9">
        <w:rPr>
          <w:rFonts w:ascii="Times New Roman" w:hAnsi="Times New Roman" w:cs="Times New Roman"/>
        </w:rPr>
        <w:t>wydatków delegatów</w:t>
      </w:r>
      <w:r>
        <w:rPr>
          <w:rFonts w:ascii="Times New Roman" w:hAnsi="Times New Roman" w:cs="Times New Roman"/>
        </w:rPr>
        <w:t xml:space="preserve"> pozwalają na wstępne wnioski związane z efektem ekonomicznym rozwoju przemysłu spotkań w regionie. Mogą być szczególnie przydatne dla administracji samorządowej planującej wsparcie rozwoju turystki biznesowej na swoim terenie np. poprzez celowe inwestycje w infrastrukturę ogólną czy budowę nowych obiektów spotkań, a tak</w:t>
      </w:r>
      <w:r w:rsidR="00092A1A">
        <w:rPr>
          <w:rFonts w:ascii="Times New Roman" w:hAnsi="Times New Roman" w:cs="Times New Roman"/>
        </w:rPr>
        <w:t>że kampanie promocyjne regionu.</w:t>
      </w:r>
    </w:p>
    <w:p w14:paraId="207550AB" w14:textId="52C7BE65" w:rsidR="000F78FE" w:rsidRDefault="000F78FE" w:rsidP="00221A17">
      <w:pPr>
        <w:spacing w:line="360" w:lineRule="auto"/>
        <w:ind w:firstLine="708"/>
        <w:jc w:val="both"/>
        <w:rPr>
          <w:rFonts w:ascii="Times New Roman" w:hAnsi="Times New Roman" w:cs="Times New Roman"/>
        </w:rPr>
      </w:pPr>
      <w:r>
        <w:rPr>
          <w:rFonts w:ascii="Times New Roman" w:hAnsi="Times New Roman" w:cs="Times New Roman"/>
        </w:rPr>
        <w:t>Należy jednak pamiętać, że jest to znaczący, ale tylko fragment wszystkich skutków ekonomicznych spotkań konferencyjnych w regionie.</w:t>
      </w:r>
    </w:p>
    <w:p w14:paraId="028A9D71" w14:textId="77777777" w:rsidR="00F10C88" w:rsidRDefault="00F10C88" w:rsidP="00221A17">
      <w:pPr>
        <w:spacing w:line="360" w:lineRule="auto"/>
        <w:ind w:firstLine="708"/>
        <w:jc w:val="both"/>
        <w:rPr>
          <w:rFonts w:ascii="Times New Roman" w:hAnsi="Times New Roman" w:cs="Times New Roman"/>
        </w:rPr>
      </w:pPr>
    </w:p>
    <w:p w14:paraId="5E682A36" w14:textId="77B695AC" w:rsidR="004B1B73" w:rsidRPr="00536559" w:rsidRDefault="004B1B73" w:rsidP="00536559">
      <w:pPr>
        <w:rPr>
          <w:rFonts w:ascii="Times New Roman" w:hAnsi="Times New Roman" w:cs="Times New Roman"/>
          <w:b/>
        </w:rPr>
      </w:pPr>
      <w:r w:rsidRPr="00536559">
        <w:rPr>
          <w:rFonts w:ascii="Times New Roman" w:hAnsi="Times New Roman" w:cs="Times New Roman"/>
          <w:b/>
        </w:rPr>
        <w:t>Spotkania konferencyjne jako produkt na rynku turystyki biznesowej</w:t>
      </w:r>
    </w:p>
    <w:p w14:paraId="09807250" w14:textId="77777777" w:rsidR="0091053A" w:rsidRPr="004B1B73" w:rsidRDefault="0091053A">
      <w:pPr>
        <w:rPr>
          <w:rFonts w:ascii="Times New Roman" w:hAnsi="Times New Roman" w:cs="Times New Roman"/>
        </w:rPr>
      </w:pPr>
    </w:p>
    <w:p w14:paraId="4B0EF64D" w14:textId="3E5FE807" w:rsidR="004B1B73" w:rsidRPr="008C15A9" w:rsidRDefault="004B1B73" w:rsidP="008C15A9">
      <w:pPr>
        <w:spacing w:line="360" w:lineRule="auto"/>
        <w:ind w:firstLine="709"/>
        <w:jc w:val="both"/>
        <w:rPr>
          <w:rFonts w:ascii="Times New Roman" w:eastAsia="Times New Roman" w:hAnsi="Times New Roman" w:cs="Times New Roman"/>
          <w:bCs/>
        </w:rPr>
      </w:pPr>
      <w:r w:rsidRPr="004B1B73">
        <w:rPr>
          <w:rFonts w:ascii="Times New Roman" w:hAnsi="Times New Roman" w:cs="Times New Roman"/>
        </w:rPr>
        <w:t>Przyjmując za kryterium podziału rynku turystycznego zaspokajane potrzeb, które znajdują wyraz w celach i motywach podróży oraz sposobach finansowania, wyróżnia się m.in. rynek turystyki biznesowej (szerzej – rynek podróży służbowych) i rynek turystyki prywatnej (turystyki czasu wolnego). Pojęciom „turystyka biznesowa” i „podróże służbowe” nadaje się różny zakres przedmiotowy, a czasem się je utożsamia. Najczęściej oznaczają one podróże związane ze sprawami zawodowymi i interesami. W odniesieniu do nich używanym określeniem jest także skrót MICE (</w:t>
      </w:r>
      <w:r w:rsidRPr="004B1B73">
        <w:rPr>
          <w:rFonts w:ascii="Times New Roman" w:hAnsi="Times New Roman" w:cs="Times New Roman"/>
          <w:i/>
        </w:rPr>
        <w:t>meetings</w:t>
      </w:r>
      <w:r w:rsidRPr="004B1B73">
        <w:rPr>
          <w:rFonts w:ascii="Times New Roman" w:hAnsi="Times New Roman" w:cs="Times New Roman"/>
        </w:rPr>
        <w:t xml:space="preserve"> – spotkania i rozmowy służbowe, raczej indywidualne; </w:t>
      </w:r>
      <w:r w:rsidRPr="004B1B73">
        <w:rPr>
          <w:rFonts w:ascii="Times New Roman" w:hAnsi="Times New Roman" w:cs="Times New Roman"/>
          <w:i/>
        </w:rPr>
        <w:t>incentives</w:t>
      </w:r>
      <w:r w:rsidRPr="004B1B73">
        <w:rPr>
          <w:rFonts w:ascii="Times New Roman" w:hAnsi="Times New Roman" w:cs="Times New Roman"/>
        </w:rPr>
        <w:t xml:space="preserve"> – wyjazdy motywacyjne; </w:t>
      </w:r>
      <w:r w:rsidRPr="004B1B73">
        <w:rPr>
          <w:rFonts w:ascii="Times New Roman" w:hAnsi="Times New Roman" w:cs="Times New Roman"/>
          <w:i/>
        </w:rPr>
        <w:t>conventions</w:t>
      </w:r>
      <w:r w:rsidRPr="004B1B73">
        <w:rPr>
          <w:rFonts w:ascii="Times New Roman" w:hAnsi="Times New Roman" w:cs="Times New Roman"/>
        </w:rPr>
        <w:t xml:space="preserve"> – kongresy i konferencje; </w:t>
      </w:r>
      <w:r w:rsidRPr="004B1B73">
        <w:rPr>
          <w:rFonts w:ascii="Times New Roman" w:hAnsi="Times New Roman" w:cs="Times New Roman"/>
          <w:i/>
        </w:rPr>
        <w:t>exhibitions</w:t>
      </w:r>
      <w:r w:rsidRPr="004B1B73">
        <w:rPr>
          <w:rFonts w:ascii="Times New Roman" w:hAnsi="Times New Roman" w:cs="Times New Roman"/>
        </w:rPr>
        <w:t>/</w:t>
      </w:r>
      <w:r w:rsidRPr="004B1B73">
        <w:rPr>
          <w:rFonts w:ascii="Times New Roman" w:hAnsi="Times New Roman" w:cs="Times New Roman"/>
          <w:i/>
        </w:rPr>
        <w:t>events</w:t>
      </w:r>
      <w:r w:rsidRPr="004B1B73">
        <w:rPr>
          <w:rFonts w:ascii="Times New Roman" w:hAnsi="Times New Roman" w:cs="Times New Roman"/>
        </w:rPr>
        <w:t xml:space="preserve"> – targi i wystawy, wydarzenia) oraz termin „przemysł spotkań” (</w:t>
      </w:r>
      <w:r w:rsidRPr="004B1B73">
        <w:rPr>
          <w:rFonts w:ascii="Times New Roman" w:hAnsi="Times New Roman" w:cs="Times New Roman"/>
          <w:i/>
        </w:rPr>
        <w:t>meetings industry</w:t>
      </w:r>
      <w:r w:rsidRPr="004B1B73">
        <w:rPr>
          <w:rFonts w:ascii="Times New Roman" w:hAnsi="Times New Roman" w:cs="Times New Roman"/>
        </w:rPr>
        <w:t>) dla podkreślenia znaczenia gospodarczego spotkań grupowych w regionach, gdzie realizowana jest turystyka biznesowa. Przejrzysty podzia</w:t>
      </w:r>
      <w:r w:rsidR="00221A17">
        <w:rPr>
          <w:rFonts w:ascii="Times New Roman" w:hAnsi="Times New Roman" w:cs="Times New Roman"/>
        </w:rPr>
        <w:t>ł terminów „podróże służbowe” i </w:t>
      </w:r>
      <w:r w:rsidRPr="004B1B73">
        <w:rPr>
          <w:rFonts w:ascii="Times New Roman" w:hAnsi="Times New Roman" w:cs="Times New Roman"/>
        </w:rPr>
        <w:t>„tury</w:t>
      </w:r>
      <w:r w:rsidR="00221A17">
        <w:rPr>
          <w:rFonts w:ascii="Times New Roman" w:hAnsi="Times New Roman" w:cs="Times New Roman"/>
        </w:rPr>
        <w:t>styka biznesowa” zaproponował Rob</w:t>
      </w:r>
      <w:r w:rsidRPr="004B1B73">
        <w:rPr>
          <w:rFonts w:ascii="Times New Roman" w:hAnsi="Times New Roman" w:cs="Times New Roman"/>
        </w:rPr>
        <w:t xml:space="preserve"> Davidson. Według niego „podróże służbowe” są kategorią nadrzędną i oznaczają wszystkie wyjazdy, których cele są związane z pracą bądź interesami podróżującego. Obejmują one indywidualne podróże służbowe</w:t>
      </w:r>
      <w:r w:rsidRPr="004B1B73">
        <w:rPr>
          <w:rStyle w:val="Odwoanieprzypisudolnego"/>
          <w:rFonts w:ascii="Times New Roman" w:hAnsi="Times New Roman" w:cs="Times New Roman"/>
        </w:rPr>
        <w:footnoteReference w:id="1"/>
      </w:r>
      <w:r w:rsidRPr="004B1B73">
        <w:rPr>
          <w:rFonts w:ascii="Times New Roman" w:hAnsi="Times New Roman" w:cs="Times New Roman"/>
        </w:rPr>
        <w:t xml:space="preserve"> i turystykę biznesową, którą traktuje jako spotkania raczej grupowe. P</w:t>
      </w:r>
      <w:r w:rsidR="00221A17">
        <w:rPr>
          <w:rFonts w:ascii="Times New Roman" w:hAnsi="Times New Roman" w:cs="Times New Roman"/>
        </w:rPr>
        <w:t>oland Convention Bureau (PCB) w </w:t>
      </w:r>
      <w:r w:rsidRPr="004B1B73">
        <w:rPr>
          <w:rFonts w:ascii="Times New Roman" w:hAnsi="Times New Roman" w:cs="Times New Roman"/>
        </w:rPr>
        <w:t>opracowywanych raportach dotyczących przemysłu spotkań w Polsce również odnosi się do tego podziału i wyodrębnia następujące cztery grupy spotkań konferencyjnych i wydarzeń biznesowych: konferencja/kongres, wydarzenie korporacyjne, wydarzenie motywacyjne oraz targi/wystawy.</w:t>
      </w:r>
      <w:r w:rsidR="008C15A9">
        <w:rPr>
          <w:rFonts w:ascii="Times New Roman" w:eastAsia="Times New Roman" w:hAnsi="Times New Roman" w:cs="Times New Roman"/>
          <w:bCs/>
        </w:rPr>
        <w:t xml:space="preserve"> </w:t>
      </w:r>
      <w:r w:rsidRPr="004B1B73">
        <w:rPr>
          <w:rFonts w:ascii="Times New Roman" w:hAnsi="Times New Roman" w:cs="Times New Roman"/>
        </w:rPr>
        <w:t>Turystyka biznesowa</w:t>
      </w:r>
      <w:r>
        <w:rPr>
          <w:rFonts w:ascii="Times New Roman" w:hAnsi="Times New Roman" w:cs="Times New Roman"/>
        </w:rPr>
        <w:t>,</w:t>
      </w:r>
      <w:r w:rsidRPr="004B1B73">
        <w:rPr>
          <w:rFonts w:ascii="Times New Roman" w:hAnsi="Times New Roman" w:cs="Times New Roman"/>
        </w:rPr>
        <w:t xml:space="preserve"> to zatem wyjazdy nierutynowe, służbowe, często grupowe, w tym:</w:t>
      </w:r>
    </w:p>
    <w:p w14:paraId="180BB9A6" w14:textId="77777777" w:rsidR="004B1B73" w:rsidRPr="004B1B73" w:rsidRDefault="004B1B73" w:rsidP="004B1B73">
      <w:pPr>
        <w:pStyle w:val="Akapitzlist"/>
        <w:numPr>
          <w:ilvl w:val="0"/>
          <w:numId w:val="5"/>
        </w:numPr>
        <w:spacing w:line="360" w:lineRule="auto"/>
        <w:ind w:left="714" w:hanging="357"/>
        <w:jc w:val="both"/>
        <w:rPr>
          <w:rFonts w:ascii="Times New Roman" w:hAnsi="Times New Roman" w:cs="Times New Roman"/>
        </w:rPr>
      </w:pPr>
      <w:r w:rsidRPr="004B1B73">
        <w:rPr>
          <w:rFonts w:ascii="Times New Roman" w:hAnsi="Times New Roman" w:cs="Times New Roman"/>
          <w:kern w:val="3"/>
          <w:lang w:eastAsia="zh-CN" w:bidi="hi-IN"/>
        </w:rPr>
        <w:t>spotkania grupowe</w:t>
      </w:r>
      <w:r w:rsidRPr="004B1B73">
        <w:rPr>
          <w:rFonts w:ascii="Times New Roman" w:hAnsi="Times New Roman" w:cs="Times New Roman"/>
        </w:rPr>
        <w:t xml:space="preserve"> (wiele rodzajów imprez, takich jak konferencje, seminaria szkoleniowe, wprowadzanie na rynek nowych produktów czy doroczne walne zgromadzenia);</w:t>
      </w:r>
    </w:p>
    <w:p w14:paraId="14DDC855" w14:textId="77777777" w:rsidR="004B1B73" w:rsidRPr="004B1B73" w:rsidRDefault="004B1B73" w:rsidP="004B1B73">
      <w:pPr>
        <w:pStyle w:val="Akapitzlist"/>
        <w:numPr>
          <w:ilvl w:val="0"/>
          <w:numId w:val="5"/>
        </w:numPr>
        <w:spacing w:line="360" w:lineRule="auto"/>
        <w:jc w:val="both"/>
        <w:rPr>
          <w:rFonts w:ascii="Times New Roman" w:hAnsi="Times New Roman" w:cs="Times New Roman"/>
        </w:rPr>
      </w:pPr>
      <w:r w:rsidRPr="004B1B73">
        <w:rPr>
          <w:rFonts w:ascii="Times New Roman" w:hAnsi="Times New Roman" w:cs="Times New Roman"/>
          <w:kern w:val="3"/>
          <w:lang w:eastAsia="zh-CN" w:bidi="hi-IN"/>
        </w:rPr>
        <w:t>podróże motywacyjne</w:t>
      </w:r>
      <w:r w:rsidRPr="004B1B73">
        <w:rPr>
          <w:rFonts w:ascii="Times New Roman" w:hAnsi="Times New Roman" w:cs="Times New Roman"/>
        </w:rPr>
        <w:t xml:space="preserve"> (zazwyczaj podróże luksusowe, do atrakcyjnych miejsc, finansowane przez pracodawcę swoim pracownikom w nagrodę za wygranie współzawodnictwa związanego z pracą lub za działania w ramach zespołu handlowców);</w:t>
      </w:r>
    </w:p>
    <w:p w14:paraId="1B5B331B" w14:textId="77777777" w:rsidR="004B1B73" w:rsidRPr="004B1B73" w:rsidRDefault="004B1B73" w:rsidP="004B1B73">
      <w:pPr>
        <w:pStyle w:val="Akapitzlist"/>
        <w:numPr>
          <w:ilvl w:val="0"/>
          <w:numId w:val="5"/>
        </w:numPr>
        <w:spacing w:line="360" w:lineRule="auto"/>
        <w:jc w:val="both"/>
        <w:rPr>
          <w:rFonts w:ascii="Times New Roman" w:hAnsi="Times New Roman" w:cs="Times New Roman"/>
        </w:rPr>
      </w:pPr>
      <w:r w:rsidRPr="004B1B73">
        <w:rPr>
          <w:rFonts w:ascii="Times New Roman" w:hAnsi="Times New Roman" w:cs="Times New Roman"/>
          <w:kern w:val="3"/>
          <w:lang w:eastAsia="zh-CN" w:bidi="hi-IN"/>
        </w:rPr>
        <w:t xml:space="preserve">wystawy </w:t>
      </w:r>
      <w:r w:rsidRPr="004B1B73">
        <w:rPr>
          <w:rFonts w:ascii="Times New Roman" w:hAnsi="Times New Roman" w:cs="Times New Roman"/>
        </w:rPr>
        <w:t>(w tym targi i imprezy konsumenckie);</w:t>
      </w:r>
    </w:p>
    <w:p w14:paraId="14C45E90" w14:textId="77777777" w:rsidR="004B1B73" w:rsidRPr="004B1B73" w:rsidRDefault="004B1B73" w:rsidP="004B1B73">
      <w:pPr>
        <w:pStyle w:val="Akapitzlist"/>
        <w:numPr>
          <w:ilvl w:val="0"/>
          <w:numId w:val="5"/>
        </w:numPr>
        <w:spacing w:line="360" w:lineRule="auto"/>
        <w:jc w:val="both"/>
        <w:rPr>
          <w:rFonts w:ascii="Times New Roman" w:hAnsi="Times New Roman" w:cs="Times New Roman"/>
        </w:rPr>
      </w:pPr>
      <w:r w:rsidRPr="004B1B73">
        <w:rPr>
          <w:rFonts w:ascii="Times New Roman" w:hAnsi="Times New Roman" w:cs="Times New Roman"/>
          <w:kern w:val="3"/>
          <w:lang w:eastAsia="zh-CN" w:bidi="hi-IN"/>
        </w:rPr>
        <w:t>turystyka korporacyjna</w:t>
      </w:r>
      <w:r w:rsidRPr="004B1B73">
        <w:rPr>
          <w:rFonts w:ascii="Times New Roman" w:hAnsi="Times New Roman" w:cs="Times New Roman"/>
        </w:rPr>
        <w:t xml:space="preserve"> (luksusowe rozrywki oferowane przez firmy najcenniejszym klientom lub potencjalnym klientom np. w czasie prestiżowych wydarzeń sportowych i kulturalnych).</w:t>
      </w:r>
    </w:p>
    <w:p w14:paraId="4C6C864A" w14:textId="77777777" w:rsidR="004B1B73" w:rsidRPr="004B1B73" w:rsidRDefault="004B1B73" w:rsidP="004B1B73">
      <w:pPr>
        <w:spacing w:line="360" w:lineRule="auto"/>
        <w:ind w:firstLine="709"/>
        <w:jc w:val="both"/>
        <w:rPr>
          <w:rFonts w:ascii="Times New Roman" w:hAnsi="Times New Roman" w:cs="Times New Roman"/>
        </w:rPr>
      </w:pPr>
      <w:r w:rsidRPr="004B1B73">
        <w:rPr>
          <w:rFonts w:ascii="Times New Roman" w:hAnsi="Times New Roman" w:cs="Times New Roman"/>
        </w:rPr>
        <w:t>Termin „</w:t>
      </w:r>
      <w:r w:rsidRPr="004B1B73">
        <w:rPr>
          <w:rFonts w:ascii="Times New Roman" w:hAnsi="Times New Roman" w:cs="Times New Roman"/>
          <w:b/>
        </w:rPr>
        <w:t>spotkanie konferencyjne</w:t>
      </w:r>
      <w:r w:rsidRPr="004B1B73">
        <w:rPr>
          <w:rFonts w:ascii="Times New Roman" w:hAnsi="Times New Roman" w:cs="Times New Roman"/>
        </w:rPr>
        <w:t>” (kongresowe, biznesowe) odnosi się do spotkania o charakterze grupowym (minimum 10 osób)</w:t>
      </w:r>
      <w:r w:rsidRPr="004B1B73">
        <w:rPr>
          <w:rStyle w:val="Odwoanieprzypisudolnego"/>
          <w:rFonts w:ascii="Times New Roman" w:hAnsi="Times New Roman" w:cs="Times New Roman"/>
        </w:rPr>
        <w:footnoteReference w:id="2"/>
      </w:r>
      <w:r w:rsidRPr="004B1B73">
        <w:rPr>
          <w:rFonts w:ascii="Times New Roman" w:hAnsi="Times New Roman" w:cs="Times New Roman"/>
        </w:rPr>
        <w:t>, trwającym co najmniej 4 godz. i zrealizowanym poza siedzibą zleceniodawcy (w różnych miejscach, np. w sali konferencyjnej stadionu, loży – pokoju VIP, skyboksie). Uczestnicy przyjeżdżają w celu wymiany doświadczeń, informacji naukowej i specjalistycznej, nawiązywania nowych kontaktów handlowych</w:t>
      </w:r>
      <w:r w:rsidRPr="004B1B73">
        <w:rPr>
          <w:rStyle w:val="Odwoanieprzypisudolnego"/>
          <w:rFonts w:ascii="Times New Roman" w:hAnsi="Times New Roman" w:cs="Times New Roman"/>
        </w:rPr>
        <w:footnoteReference w:id="3"/>
      </w:r>
      <w:r w:rsidRPr="004B1B73">
        <w:rPr>
          <w:rFonts w:ascii="Times New Roman" w:hAnsi="Times New Roman" w:cs="Times New Roman"/>
        </w:rPr>
        <w:t>. Spotkania te różnią się między sobą co do czasu trwania, liczby uczestników, zasięgu przestrzennego, celu i tematyki obrad, stopnia formalizacji. W praktyce delegaci mogą uczestniczyć w: kongresie, zjeździe, konferencji, forum, zgromadzeniu, konwencji, sympozjum, seminarium czy też szkoleniu. W opracowaniach podejmujących tematykę rynku turystyki biznesowej spotkania konferencyjne i wydarzenia biznesowe obejmują wszystkie te rodzaje spotkań</w:t>
      </w:r>
      <w:r w:rsidRPr="004B1B73">
        <w:rPr>
          <w:rStyle w:val="Odwoanieprzypisudolnego"/>
          <w:rFonts w:ascii="Times New Roman" w:hAnsi="Times New Roman" w:cs="Times New Roman"/>
        </w:rPr>
        <w:footnoteReference w:id="4"/>
      </w:r>
      <w:r w:rsidRPr="004B1B73">
        <w:rPr>
          <w:rFonts w:ascii="Times New Roman" w:hAnsi="Times New Roman" w:cs="Times New Roman"/>
        </w:rPr>
        <w:t>. Termin „uczestnik spotkań konferencyjnych – delegat” odnosi się zarówno do turystów biznesowych (ten podróżujący służbowo uczestnik spotkania, który spełnia kryteria przyjęte w definicji turysty</w:t>
      </w:r>
      <w:r w:rsidRPr="004B1B73">
        <w:rPr>
          <w:rFonts w:ascii="Times New Roman" w:hAnsi="Times New Roman" w:cs="Times New Roman"/>
          <w:i/>
        </w:rPr>
        <w:t xml:space="preserve"> </w:t>
      </w:r>
      <w:r w:rsidRPr="004B1B73">
        <w:rPr>
          <w:rFonts w:ascii="Times New Roman" w:hAnsi="Times New Roman" w:cs="Times New Roman"/>
        </w:rPr>
        <w:t xml:space="preserve">według terminologii zalecanej przez UN WTO, tzn. pozostaje poza miejscem stałego zamieszkania przynajmniej 24 godz. i korzysta z ogólnodostępnej bazy noclegowej), jak i innych osób, które przemieściły się w celach służbowych do miejscowości konferencyjnej i nie nocują w odwiedzanym miejscu (odwiedzających jednodniowych), ale korzystają z usług konferencyjnych. </w:t>
      </w:r>
    </w:p>
    <w:p w14:paraId="7A68A5C3" w14:textId="77777777" w:rsidR="004B1B73" w:rsidRPr="004B1B73" w:rsidRDefault="004B1B73" w:rsidP="004B1B73">
      <w:pPr>
        <w:spacing w:line="360" w:lineRule="auto"/>
        <w:ind w:firstLine="709"/>
        <w:jc w:val="both"/>
        <w:rPr>
          <w:rFonts w:ascii="Times New Roman" w:hAnsi="Times New Roman" w:cs="Times New Roman"/>
        </w:rPr>
      </w:pPr>
      <w:r w:rsidRPr="004B1B73">
        <w:rPr>
          <w:rFonts w:ascii="Times New Roman" w:hAnsi="Times New Roman" w:cs="Times New Roman"/>
        </w:rPr>
        <w:t>Rynek turystyki biznesowej w ujęciu podmiotowym tworzą następujące grupy:</w:t>
      </w:r>
    </w:p>
    <w:p w14:paraId="1BAC24BA" w14:textId="77777777" w:rsidR="004B1B73" w:rsidRPr="004B1B73" w:rsidRDefault="004B1B73" w:rsidP="004B1B73">
      <w:pPr>
        <w:spacing w:line="360" w:lineRule="auto"/>
        <w:jc w:val="both"/>
        <w:rPr>
          <w:rFonts w:ascii="Times New Roman" w:hAnsi="Times New Roman" w:cs="Times New Roman"/>
        </w:rPr>
      </w:pPr>
      <w:r w:rsidRPr="004B1B73">
        <w:rPr>
          <w:rFonts w:ascii="Times New Roman" w:hAnsi="Times New Roman" w:cs="Times New Roman"/>
        </w:rPr>
        <w:t>I grupa – wytwórcy/dostawcy usług cząstkowych:</w:t>
      </w:r>
    </w:p>
    <w:p w14:paraId="3609A2DA" w14:textId="77777777" w:rsidR="004B1B73" w:rsidRPr="004B1B73" w:rsidRDefault="004B1B73" w:rsidP="004B1B73">
      <w:pPr>
        <w:pStyle w:val="Akapitzlist"/>
        <w:numPr>
          <w:ilvl w:val="0"/>
          <w:numId w:val="10"/>
        </w:numPr>
        <w:suppressAutoHyphens/>
        <w:spacing w:line="360" w:lineRule="auto"/>
        <w:jc w:val="both"/>
        <w:rPr>
          <w:rFonts w:ascii="Times New Roman" w:hAnsi="Times New Roman" w:cs="Times New Roman"/>
        </w:rPr>
      </w:pPr>
      <w:r w:rsidRPr="004B1B73">
        <w:rPr>
          <w:rFonts w:ascii="Times New Roman" w:hAnsi="Times New Roman" w:cs="Times New Roman"/>
        </w:rPr>
        <w:t xml:space="preserve">miejsca noclegowe (hotele, ośrodki szkoleniowe, centra konferencyjne), </w:t>
      </w:r>
    </w:p>
    <w:p w14:paraId="37E7A139" w14:textId="77777777" w:rsidR="004B1B73" w:rsidRDefault="004B1B73" w:rsidP="004B1B73">
      <w:pPr>
        <w:pStyle w:val="Akapitzlist"/>
        <w:numPr>
          <w:ilvl w:val="0"/>
          <w:numId w:val="10"/>
        </w:numPr>
        <w:suppressAutoHyphens/>
        <w:spacing w:line="360" w:lineRule="auto"/>
        <w:jc w:val="both"/>
        <w:rPr>
          <w:rFonts w:ascii="Times New Roman" w:hAnsi="Times New Roman" w:cs="Times New Roman"/>
        </w:rPr>
      </w:pPr>
      <w:r w:rsidRPr="004B1B73">
        <w:rPr>
          <w:rFonts w:ascii="Times New Roman" w:hAnsi="Times New Roman" w:cs="Times New Roman"/>
        </w:rPr>
        <w:t>miejsca spotkań bez zaplecza noclegowego (</w:t>
      </w:r>
      <w:r w:rsidRPr="004B1B73">
        <w:rPr>
          <w:rFonts w:ascii="Times New Roman" w:hAnsi="Times New Roman" w:cs="Times New Roman"/>
          <w:kern w:val="3"/>
          <w:lang w:eastAsia="zh-CN" w:bidi="hi-IN"/>
        </w:rPr>
        <w:t xml:space="preserve">wielofunkcyjne hale widowiskowo-sportowe, stadiony, </w:t>
      </w:r>
      <w:r w:rsidRPr="004B1B73">
        <w:rPr>
          <w:rFonts w:ascii="Times New Roman" w:hAnsi="Times New Roman" w:cs="Times New Roman"/>
        </w:rPr>
        <w:t>areny widowiskowe, kina, teatry, sale wykładowe itp.),</w:t>
      </w:r>
    </w:p>
    <w:p w14:paraId="29F38490" w14:textId="77777777" w:rsidR="004B1B73" w:rsidRDefault="004B1B73" w:rsidP="004B1B73">
      <w:pPr>
        <w:pStyle w:val="Akapitzlist"/>
        <w:numPr>
          <w:ilvl w:val="0"/>
          <w:numId w:val="10"/>
        </w:numPr>
        <w:suppressAutoHyphens/>
        <w:spacing w:line="360" w:lineRule="auto"/>
        <w:jc w:val="both"/>
        <w:rPr>
          <w:rFonts w:ascii="Times New Roman" w:hAnsi="Times New Roman" w:cs="Times New Roman"/>
        </w:rPr>
      </w:pPr>
      <w:r w:rsidRPr="004B1B73">
        <w:rPr>
          <w:rFonts w:ascii="Times New Roman" w:hAnsi="Times New Roman" w:cs="Times New Roman"/>
        </w:rPr>
        <w:t>usługi wspomagające (np. komunikacyjne, gastronomiczne),</w:t>
      </w:r>
    </w:p>
    <w:p w14:paraId="7511537A" w14:textId="7E31588F" w:rsidR="004B1B73" w:rsidRPr="004B1B73" w:rsidRDefault="004B1B73" w:rsidP="004B1B73">
      <w:pPr>
        <w:pStyle w:val="Akapitzlist"/>
        <w:numPr>
          <w:ilvl w:val="0"/>
          <w:numId w:val="10"/>
        </w:numPr>
        <w:suppressAutoHyphens/>
        <w:spacing w:line="360" w:lineRule="auto"/>
        <w:jc w:val="both"/>
        <w:rPr>
          <w:rFonts w:ascii="Times New Roman" w:hAnsi="Times New Roman" w:cs="Times New Roman"/>
        </w:rPr>
      </w:pPr>
      <w:r w:rsidRPr="004B1B73">
        <w:rPr>
          <w:rFonts w:ascii="Times New Roman" w:hAnsi="Times New Roman" w:cs="Times New Roman"/>
        </w:rPr>
        <w:t>inni lokalni przedsiębiorcy (firmy handlowe, firmy wynajmujące sprzęt audio-wideo, firmy reklamowe itp.),</w:t>
      </w:r>
    </w:p>
    <w:p w14:paraId="34BC66D5" w14:textId="77777777" w:rsidR="004B1B73" w:rsidRPr="004B1B73" w:rsidRDefault="004B1B73" w:rsidP="004B1B73">
      <w:pPr>
        <w:spacing w:line="360" w:lineRule="auto"/>
        <w:jc w:val="both"/>
        <w:rPr>
          <w:rFonts w:ascii="Times New Roman" w:hAnsi="Times New Roman" w:cs="Times New Roman"/>
        </w:rPr>
      </w:pPr>
      <w:r w:rsidRPr="004B1B73">
        <w:rPr>
          <w:rFonts w:ascii="Times New Roman" w:hAnsi="Times New Roman" w:cs="Times New Roman"/>
        </w:rPr>
        <w:t xml:space="preserve">II grupa – pośrednicy: </w:t>
      </w:r>
    </w:p>
    <w:p w14:paraId="3AC1C86E" w14:textId="77777777" w:rsidR="004B1B73" w:rsidRPr="004B1B73" w:rsidRDefault="004B1B73" w:rsidP="004B1B73">
      <w:pPr>
        <w:pStyle w:val="Akapitzlist"/>
        <w:numPr>
          <w:ilvl w:val="0"/>
          <w:numId w:val="11"/>
        </w:numPr>
        <w:suppressAutoHyphens/>
        <w:spacing w:line="360" w:lineRule="auto"/>
        <w:jc w:val="both"/>
        <w:rPr>
          <w:rFonts w:ascii="Times New Roman" w:hAnsi="Times New Roman" w:cs="Times New Roman"/>
        </w:rPr>
      </w:pPr>
      <w:r w:rsidRPr="004B1B73">
        <w:rPr>
          <w:rFonts w:ascii="Times New Roman" w:hAnsi="Times New Roman" w:cs="Times New Roman"/>
        </w:rPr>
        <w:t>wyspecjalizowani, działający w imieniu zleceniodawców (np. profesjonalni organizatorzy konferencji – PCO),</w:t>
      </w:r>
    </w:p>
    <w:p w14:paraId="3732EFA4" w14:textId="77777777" w:rsidR="004B1B73" w:rsidRPr="004B1B73" w:rsidRDefault="004B1B73" w:rsidP="004B1B73">
      <w:pPr>
        <w:pStyle w:val="Akapitzlist"/>
        <w:numPr>
          <w:ilvl w:val="0"/>
          <w:numId w:val="11"/>
        </w:numPr>
        <w:suppressAutoHyphens/>
        <w:spacing w:line="360" w:lineRule="auto"/>
        <w:jc w:val="both"/>
        <w:rPr>
          <w:rFonts w:ascii="Times New Roman" w:hAnsi="Times New Roman" w:cs="Times New Roman"/>
        </w:rPr>
      </w:pPr>
      <w:r w:rsidRPr="004B1B73">
        <w:rPr>
          <w:rFonts w:ascii="Times New Roman" w:hAnsi="Times New Roman" w:cs="Times New Roman"/>
        </w:rPr>
        <w:t>działający w imieniu wytwórców/dostawców usług cząstkowych (np. Convention Bureau),</w:t>
      </w:r>
    </w:p>
    <w:p w14:paraId="38202B96" w14:textId="77777777" w:rsidR="004B1B73" w:rsidRPr="004B1B73" w:rsidRDefault="004B1B73" w:rsidP="004B1B73">
      <w:pPr>
        <w:spacing w:line="360" w:lineRule="auto"/>
        <w:jc w:val="both"/>
        <w:rPr>
          <w:rFonts w:ascii="Times New Roman" w:hAnsi="Times New Roman" w:cs="Times New Roman"/>
        </w:rPr>
      </w:pPr>
      <w:r w:rsidRPr="004B1B73">
        <w:rPr>
          <w:rFonts w:ascii="Times New Roman" w:hAnsi="Times New Roman" w:cs="Times New Roman"/>
        </w:rPr>
        <w:t>III grupa – nabywcy:</w:t>
      </w:r>
    </w:p>
    <w:p w14:paraId="4534FE7F" w14:textId="77777777" w:rsidR="004B1B73" w:rsidRPr="004B1B73" w:rsidRDefault="004B1B73" w:rsidP="004B1B73">
      <w:pPr>
        <w:pStyle w:val="Akapitzlist"/>
        <w:numPr>
          <w:ilvl w:val="0"/>
          <w:numId w:val="12"/>
        </w:numPr>
        <w:suppressAutoHyphens/>
        <w:spacing w:line="360" w:lineRule="auto"/>
        <w:jc w:val="both"/>
        <w:rPr>
          <w:rFonts w:ascii="Times New Roman" w:hAnsi="Times New Roman" w:cs="Times New Roman"/>
        </w:rPr>
      </w:pPr>
      <w:r w:rsidRPr="004B1B73">
        <w:rPr>
          <w:rFonts w:ascii="Times New Roman" w:hAnsi="Times New Roman" w:cs="Times New Roman"/>
        </w:rPr>
        <w:t xml:space="preserve">instytucjonalni (generujący główny popyt; dwie grupy: korporacje/firmy oraz organizacje </w:t>
      </w:r>
      <w:r w:rsidRPr="004B1B73">
        <w:rPr>
          <w:rFonts w:ascii="Times New Roman" w:hAnsi="Times New Roman" w:cs="Times New Roman"/>
          <w:i/>
        </w:rPr>
        <w:t>non-profit</w:t>
      </w:r>
      <w:r w:rsidRPr="004B1B73">
        <w:rPr>
          <w:rFonts w:ascii="Times New Roman" w:hAnsi="Times New Roman" w:cs="Times New Roman"/>
        </w:rPr>
        <w:t>, w tym administracja publiczna oraz stowarzyszenia i związki),</w:t>
      </w:r>
    </w:p>
    <w:p w14:paraId="1E586B55" w14:textId="26068D77" w:rsidR="004B1B73" w:rsidRPr="00221A17" w:rsidRDefault="004B1B73" w:rsidP="004B1B73">
      <w:pPr>
        <w:pStyle w:val="Akapitzlist"/>
        <w:numPr>
          <w:ilvl w:val="0"/>
          <w:numId w:val="12"/>
        </w:numPr>
        <w:suppressAutoHyphens/>
        <w:spacing w:line="360" w:lineRule="auto"/>
        <w:jc w:val="both"/>
        <w:rPr>
          <w:rFonts w:ascii="Times New Roman" w:hAnsi="Times New Roman" w:cs="Times New Roman"/>
        </w:rPr>
      </w:pPr>
      <w:r w:rsidRPr="004B1B73">
        <w:rPr>
          <w:rFonts w:ascii="Times New Roman" w:hAnsi="Times New Roman" w:cs="Times New Roman"/>
        </w:rPr>
        <w:t xml:space="preserve">indywidualni (uczestnicy spotkań konferencyjnych, delegaci kupujący tylko niektóre usługi dodatkowe w czasie spotkań konferencyjnych i poza nimi; uczestnicy spotkań </w:t>
      </w:r>
      <w:r w:rsidRPr="00AA5E7A">
        <w:rPr>
          <w:rFonts w:ascii="Times New Roman" w:hAnsi="Times New Roman" w:cs="Times New Roman"/>
        </w:rPr>
        <w:t>zamkniętych i otwartych).</w:t>
      </w:r>
    </w:p>
    <w:p w14:paraId="785D6C08" w14:textId="5A883CA5" w:rsidR="00192E1F" w:rsidRPr="00AA5E7A" w:rsidRDefault="00192E1F" w:rsidP="00192E1F">
      <w:pPr>
        <w:spacing w:line="360" w:lineRule="auto"/>
        <w:ind w:firstLine="708"/>
        <w:jc w:val="both"/>
        <w:rPr>
          <w:rFonts w:ascii="Times New Roman" w:hAnsi="Times New Roman" w:cs="Times New Roman"/>
        </w:rPr>
      </w:pPr>
      <w:r w:rsidRPr="00AA5E7A">
        <w:rPr>
          <w:rFonts w:ascii="Times New Roman" w:hAnsi="Times New Roman" w:cs="Times New Roman"/>
        </w:rPr>
        <w:t>W literaturze przedmiotu można spotkać tezę, że rynek turystyki konferencyjnej wykazuje pewne cechy rynku turystyki dla przyjemności (wypoczynkowej, prywatnej), gdyż potencjalni uczestnicy mają szeroki wybór różnych form spotkań, w różnych miejscach, po różnej cenie i w różnym czasie, a przy wyborze kierują się też indywidualnymi motywami, atrakcyjnością spotkania i celu (miejsca) podróży, odległością i kosztem</w:t>
      </w:r>
      <w:r w:rsidRPr="00AA5E7A">
        <w:rPr>
          <w:rStyle w:val="Odwoanieprzypisudolnego"/>
          <w:rFonts w:ascii="Times New Roman" w:hAnsi="Times New Roman" w:cs="Times New Roman"/>
        </w:rPr>
        <w:footnoteReference w:id="5"/>
      </w:r>
      <w:r w:rsidRPr="00AA5E7A">
        <w:rPr>
          <w:rFonts w:ascii="Times New Roman" w:hAnsi="Times New Roman" w:cs="Times New Roman"/>
        </w:rPr>
        <w:t xml:space="preserve"> oraz korzystają podobnie jak turyści indywidualni, z innych usług i atrakcji miejsca docelowego</w:t>
      </w:r>
      <w:r w:rsidRPr="00AA5E7A">
        <w:rPr>
          <w:rStyle w:val="Odwoanieprzypisudolnego"/>
          <w:rFonts w:ascii="Times New Roman" w:hAnsi="Times New Roman" w:cs="Times New Roman"/>
        </w:rPr>
        <w:footnoteReference w:id="6"/>
      </w:r>
      <w:r w:rsidRPr="00AA5E7A">
        <w:rPr>
          <w:rFonts w:ascii="Times New Roman" w:hAnsi="Times New Roman" w:cs="Times New Roman"/>
        </w:rPr>
        <w:t>. Trzeba jednak zwrócić uwagę, że swoboda wyboru dotyczy w większym stopniu konferencji realizowanych przez stowarzyszenia niż przedsiębiorstwa</w:t>
      </w:r>
      <w:r w:rsidRPr="00AA5E7A">
        <w:rPr>
          <w:rStyle w:val="Odwoanieprzypisudolnego"/>
          <w:rFonts w:ascii="Times New Roman" w:hAnsi="Times New Roman" w:cs="Times New Roman"/>
        </w:rPr>
        <w:footnoteReference w:id="7"/>
      </w:r>
      <w:r w:rsidRPr="00AA5E7A">
        <w:rPr>
          <w:rFonts w:ascii="Times New Roman" w:hAnsi="Times New Roman" w:cs="Times New Roman"/>
        </w:rPr>
        <w:t>. Ponadto, pomimo pewnej samodzielności delegatów w podejmowaniu decyzji o uczestnictwie w spotkaniach konferencyjnych, nabywcą generującym popyt nie jest jednak bezpośrednio uczestnik (delegat), lecz zleceniodawca konferencji – przedsiębiorstwo lub organizacja rządowa lub pozarządowa. Nawet przy spotkaniach otwartych</w:t>
      </w:r>
      <w:r w:rsidRPr="00AA5E7A">
        <w:rPr>
          <w:rStyle w:val="Odwoanieprzypisudolnego"/>
          <w:rFonts w:ascii="Times New Roman" w:hAnsi="Times New Roman" w:cs="Times New Roman"/>
        </w:rPr>
        <w:footnoteReference w:id="8"/>
      </w:r>
      <w:r w:rsidRPr="00AA5E7A">
        <w:rPr>
          <w:rFonts w:ascii="Times New Roman" w:hAnsi="Times New Roman" w:cs="Times New Roman"/>
        </w:rPr>
        <w:t>, gdzie uczestnicy wnoszą opłaty za udział i mają swobodę decyzji wyboru spotkania konferencyjnego (szkolenia, warsztaty, konferencje, itp.) to dla dostawcy usług turystycznych (np. hotelu, przedsiębiorstwa transportowego, restauracji, PCO -profesjonalnego organizatora konferencji) klientem jest zleceniodawca spotkania (przedsiębiorstwo lub fundacja, stowarzyszenie, administracja samorządowa, państwowa, uczelnia, organizacja religijna, hobbystyczna, itp.). Nabywca (przedsiębiorstwo lub organizacja non-profit) ma pomysł, kontakty (formalne lub nieformalne) i środki finansowe, ustala warunki realizacji spotkania, wpłaca zaliczkę lub całość kwoty przed rozpoczęciem spotkania konferencyjnego.</w:t>
      </w:r>
    </w:p>
    <w:p w14:paraId="607CBE53" w14:textId="77777777" w:rsidR="00192E1F" w:rsidRPr="00AA5E7A" w:rsidRDefault="00192E1F" w:rsidP="00192E1F">
      <w:pPr>
        <w:spacing w:line="360" w:lineRule="auto"/>
        <w:ind w:firstLine="708"/>
        <w:jc w:val="both"/>
        <w:rPr>
          <w:rFonts w:ascii="Times New Roman" w:hAnsi="Times New Roman" w:cs="Times New Roman"/>
        </w:rPr>
      </w:pPr>
      <w:r w:rsidRPr="00AA5E7A">
        <w:rPr>
          <w:rFonts w:ascii="Times New Roman" w:hAnsi="Times New Roman" w:cs="Times New Roman"/>
        </w:rPr>
        <w:t>O tym czy uczestnicy będą partycypować w kosztach spotkania czy też nie, decyduje organizator wspólnie z nabywcą/zleceniodawcą, gdy sam zaplanuje sposób pokrycia kosztów realizacji spotkania. Przedsiębiorstwo - zleceniodawca może zrobić to z własnego budżetu np.: na reprezentację, gdy zaprasza swoich kontrahentów; może to zrobić ze źródeł zewnętrznych (dotacji, subwencji w ramach różnych programów pomocowych, wpłat sponsorów, opłat wnoszonych przez wystawców, czy też delegatów).</w:t>
      </w:r>
    </w:p>
    <w:p w14:paraId="17B9C35A" w14:textId="77777777" w:rsidR="00AA5E7A" w:rsidRDefault="00192E1F" w:rsidP="00AA5E7A">
      <w:pPr>
        <w:spacing w:line="360" w:lineRule="auto"/>
        <w:ind w:firstLine="708"/>
        <w:jc w:val="both"/>
        <w:rPr>
          <w:rFonts w:ascii="Times New Roman" w:hAnsi="Times New Roman" w:cs="Times New Roman"/>
        </w:rPr>
      </w:pPr>
      <w:r w:rsidRPr="00AA5E7A">
        <w:rPr>
          <w:rFonts w:ascii="Times New Roman" w:hAnsi="Times New Roman" w:cs="Times New Roman"/>
        </w:rPr>
        <w:t>Na rynku turystyki biznesowej wartościowo dominuje popyt instytucjonalny. Proces tworzenia produktu jest bardzo złożony i angażuje bardzo wielu dostawców z rożnymi usługami. Badając ekonomiczne skutki spotkań konferencyjnych można analizować wydatki uczestników, należy jednak mieć świadomość, iż jest to tylko pewien fragment z całości efektu gospodarczego jaki przynosi dla regionu kongres czy konferencja.</w:t>
      </w:r>
    </w:p>
    <w:p w14:paraId="7321DEAE" w14:textId="77777777" w:rsidR="00AA5E7A" w:rsidRDefault="00AA5E7A" w:rsidP="00AA5E7A">
      <w:pPr>
        <w:spacing w:line="360" w:lineRule="auto"/>
        <w:ind w:firstLine="708"/>
        <w:jc w:val="both"/>
        <w:rPr>
          <w:rFonts w:ascii="Times New Roman" w:hAnsi="Times New Roman" w:cs="Times New Roman"/>
        </w:rPr>
      </w:pPr>
    </w:p>
    <w:p w14:paraId="1CD22EC4" w14:textId="54508099" w:rsidR="00AA5E7A" w:rsidRPr="00536559" w:rsidRDefault="00AA5E7A" w:rsidP="00536559">
      <w:pPr>
        <w:spacing w:line="360" w:lineRule="auto"/>
        <w:jc w:val="both"/>
        <w:rPr>
          <w:rFonts w:ascii="Times New Roman" w:hAnsi="Times New Roman" w:cs="Times New Roman"/>
          <w:b/>
        </w:rPr>
      </w:pPr>
      <w:r w:rsidRPr="00536559">
        <w:rPr>
          <w:rFonts w:ascii="Times New Roman" w:hAnsi="Times New Roman" w:cs="Times New Roman"/>
          <w:b/>
        </w:rPr>
        <w:t>Główne obszary badań rynkowych dla oszacowania skutków ekonomicznych spotkań konferencyjnych</w:t>
      </w:r>
    </w:p>
    <w:p w14:paraId="40BFA03E" w14:textId="77777777" w:rsidR="001967F3" w:rsidRPr="004B1B73" w:rsidRDefault="001967F3">
      <w:pPr>
        <w:rPr>
          <w:rFonts w:ascii="Times New Roman" w:hAnsi="Times New Roman" w:cs="Times New Roman"/>
        </w:rPr>
      </w:pPr>
    </w:p>
    <w:p w14:paraId="3FD65C62" w14:textId="0C363238" w:rsidR="000951E8" w:rsidRPr="00245910" w:rsidRDefault="00F976F1" w:rsidP="00F976F1">
      <w:pPr>
        <w:spacing w:line="360" w:lineRule="auto"/>
        <w:ind w:firstLine="708"/>
        <w:jc w:val="both"/>
        <w:rPr>
          <w:rFonts w:ascii="Times New Roman" w:hAnsi="Times New Roman" w:cs="Times New Roman"/>
        </w:rPr>
      </w:pPr>
      <w:r>
        <w:rPr>
          <w:rFonts w:ascii="Times New Roman" w:hAnsi="Times New Roman" w:cs="Times New Roman"/>
        </w:rPr>
        <w:t>Dokonując przeglądu</w:t>
      </w:r>
      <w:r w:rsidR="00AA5E7A">
        <w:rPr>
          <w:rFonts w:ascii="Times New Roman" w:hAnsi="Times New Roman" w:cs="Times New Roman"/>
        </w:rPr>
        <w:t xml:space="preserve"> badań rynku turystyki biznesowej na świecie</w:t>
      </w:r>
      <w:r>
        <w:rPr>
          <w:rFonts w:ascii="Times New Roman" w:hAnsi="Times New Roman" w:cs="Times New Roman"/>
        </w:rPr>
        <w:t xml:space="preserve"> (Australia</w:t>
      </w:r>
      <w:r>
        <w:rPr>
          <w:rStyle w:val="Odwoanieprzypisudolnego"/>
          <w:rFonts w:ascii="Times New Roman" w:hAnsi="Times New Roman" w:cs="Times New Roman"/>
        </w:rPr>
        <w:footnoteReference w:id="9"/>
      </w:r>
      <w:r>
        <w:rPr>
          <w:rFonts w:ascii="Times New Roman" w:hAnsi="Times New Roman" w:cs="Times New Roman"/>
        </w:rPr>
        <w:t>, Kanada</w:t>
      </w:r>
      <w:r>
        <w:rPr>
          <w:rStyle w:val="Odwoanieprzypisudolnego"/>
          <w:rFonts w:ascii="Times New Roman" w:hAnsi="Times New Roman" w:cs="Times New Roman"/>
        </w:rPr>
        <w:footnoteReference w:id="10"/>
      </w:r>
      <w:r>
        <w:rPr>
          <w:rFonts w:ascii="Times New Roman" w:hAnsi="Times New Roman" w:cs="Times New Roman"/>
        </w:rPr>
        <w:t>, USA</w:t>
      </w:r>
      <w:r>
        <w:rPr>
          <w:rStyle w:val="Odwoanieprzypisudolnego"/>
          <w:rFonts w:ascii="Times New Roman" w:hAnsi="Times New Roman" w:cs="Times New Roman"/>
        </w:rPr>
        <w:footnoteReference w:id="11"/>
      </w:r>
      <w:r>
        <w:rPr>
          <w:rFonts w:ascii="Times New Roman" w:hAnsi="Times New Roman" w:cs="Times New Roman"/>
        </w:rPr>
        <w:t>, Meksyk</w:t>
      </w:r>
      <w:r>
        <w:rPr>
          <w:rStyle w:val="Odwoanieprzypisudolnego"/>
          <w:rFonts w:ascii="Times New Roman" w:hAnsi="Times New Roman" w:cs="Times New Roman"/>
        </w:rPr>
        <w:footnoteReference w:id="12"/>
      </w:r>
      <w:r>
        <w:rPr>
          <w:rFonts w:ascii="Times New Roman" w:hAnsi="Times New Roman" w:cs="Times New Roman"/>
        </w:rPr>
        <w:t>, Dania</w:t>
      </w:r>
      <w:r>
        <w:rPr>
          <w:rStyle w:val="Odwoanieprzypisudolnego"/>
          <w:rFonts w:ascii="Times New Roman" w:hAnsi="Times New Roman" w:cs="Times New Roman"/>
        </w:rPr>
        <w:footnoteReference w:id="13"/>
      </w:r>
      <w:r>
        <w:rPr>
          <w:rFonts w:ascii="Times New Roman" w:hAnsi="Times New Roman" w:cs="Times New Roman"/>
        </w:rPr>
        <w:t>, i inne) e</w:t>
      </w:r>
      <w:r w:rsidR="00AA5E7A">
        <w:rPr>
          <w:rFonts w:ascii="Times New Roman" w:hAnsi="Times New Roman" w:cs="Times New Roman"/>
        </w:rPr>
        <w:t>konomiczne skutki</w:t>
      </w:r>
      <w:r w:rsidR="000951E8" w:rsidRPr="00245910">
        <w:rPr>
          <w:rFonts w:ascii="Times New Roman" w:hAnsi="Times New Roman" w:cs="Times New Roman"/>
        </w:rPr>
        <w:t xml:space="preserve"> spotkań konferencyjnych rozpatrywać można przy użyciu różnych mierników: wielkość inwestycji w infrastrukturę konferencyjną, wielkość budżetów jakimi dysponują CVB, wielkości wydatków całkowitych w danym kraju na organizację i obsługę kongresów w kraju, liczby stworzonych miejsc pracy, wielkości przychodów budżetowych z tytułu podatków, nakładów na rozwój obiektów konferencyjnych, wielkości i struktury wydatków organizatorów, całkowitych wydatków delegatów, ich struktury, także w przeliczeniu na jeden dzień pobytu. Niektóre, bardzo szczegółowe badania uwzględniają: wielkość konferencji, czas trwania, rodzaj zleceniodawcy. Najczęściej jednak spotyka się wyliczenia </w:t>
      </w:r>
      <w:r w:rsidR="000951E8" w:rsidRPr="00F976F1">
        <w:rPr>
          <w:rFonts w:ascii="Times New Roman" w:hAnsi="Times New Roman" w:cs="Times New Roman"/>
          <w:b/>
        </w:rPr>
        <w:t>wielkości i struktury wydatków delegatów</w:t>
      </w:r>
      <w:r w:rsidR="000951E8" w:rsidRPr="00245910">
        <w:rPr>
          <w:rFonts w:ascii="Times New Roman" w:hAnsi="Times New Roman" w:cs="Times New Roman"/>
        </w:rPr>
        <w:t xml:space="preserve">. Ponieważ nie ma jednej wypracowanej metody oceny gospodarczego wpływu kongresów, przedstawione zostaną przykłady efektów ekonomicznych w wybranych krajach najczęściej wybieranych jako miejsca konferencji. </w:t>
      </w:r>
    </w:p>
    <w:p w14:paraId="529F4954" w14:textId="7F8AB39A" w:rsidR="000951E8" w:rsidRPr="00245910" w:rsidRDefault="000951E8" w:rsidP="00393EC7">
      <w:pPr>
        <w:spacing w:line="360" w:lineRule="auto"/>
        <w:ind w:firstLine="708"/>
        <w:jc w:val="both"/>
        <w:rPr>
          <w:rFonts w:ascii="Times New Roman" w:hAnsi="Times New Roman" w:cs="Times New Roman"/>
        </w:rPr>
      </w:pPr>
      <w:r w:rsidRPr="00245910">
        <w:rPr>
          <w:rFonts w:ascii="Times New Roman" w:hAnsi="Times New Roman" w:cs="Times New Roman"/>
        </w:rPr>
        <w:t xml:space="preserve">W </w:t>
      </w:r>
      <w:r w:rsidRPr="00245910">
        <w:rPr>
          <w:rFonts w:ascii="Times New Roman" w:hAnsi="Times New Roman" w:cs="Times New Roman"/>
          <w:bCs/>
        </w:rPr>
        <w:t>Wielkiej Brytanii</w:t>
      </w:r>
      <w:r w:rsidRPr="00245910">
        <w:rPr>
          <w:rFonts w:ascii="Times New Roman" w:hAnsi="Times New Roman" w:cs="Times New Roman"/>
          <w:b/>
          <w:bCs/>
        </w:rPr>
        <w:t xml:space="preserve"> </w:t>
      </w:r>
      <w:r w:rsidRPr="00245910">
        <w:rPr>
          <w:rFonts w:ascii="Times New Roman" w:hAnsi="Times New Roman" w:cs="Times New Roman"/>
        </w:rPr>
        <w:t>badania ekonomicznych skutków turystyki konferencyjnej prowadzone są w ramach wielu badań: International Passenger Survey, Conference Delegate Expenditure Survey</w:t>
      </w:r>
      <w:r w:rsidRPr="00245910">
        <w:rPr>
          <w:rStyle w:val="Odwoanieprzypisudolnego"/>
          <w:rFonts w:ascii="Times New Roman" w:hAnsi="Times New Roman" w:cs="Times New Roman"/>
        </w:rPr>
        <w:footnoteReference w:id="14"/>
      </w:r>
      <w:r w:rsidRPr="00245910">
        <w:rPr>
          <w:rFonts w:ascii="Times New Roman" w:hAnsi="Times New Roman" w:cs="Times New Roman"/>
        </w:rPr>
        <w:t>, UK Conference Market Survey</w:t>
      </w:r>
      <w:r w:rsidR="00F976F1">
        <w:rPr>
          <w:rStyle w:val="Odwoanieprzypisudolnego"/>
          <w:rFonts w:ascii="Times New Roman" w:hAnsi="Times New Roman" w:cs="Times New Roman"/>
        </w:rPr>
        <w:footnoteReference w:id="15"/>
      </w:r>
      <w:r w:rsidRPr="00245910">
        <w:rPr>
          <w:rFonts w:ascii="Times New Roman" w:hAnsi="Times New Roman" w:cs="Times New Roman"/>
        </w:rPr>
        <w:t xml:space="preserve"> oraz badania miejskich Convention Bureux. Szacuje się, że potencjał usługowy na rynku konferencyjnym tego kraju stanowi ponad 5 000 obiektów</w:t>
      </w:r>
      <w:r w:rsidRPr="00245910">
        <w:rPr>
          <w:rStyle w:val="Odwoanieprzypisudolnego"/>
          <w:rFonts w:ascii="Times New Roman" w:hAnsi="Times New Roman" w:cs="Times New Roman"/>
        </w:rPr>
        <w:footnoteReference w:id="16"/>
      </w:r>
      <w:r w:rsidRPr="00245910">
        <w:rPr>
          <w:rFonts w:ascii="Times New Roman" w:hAnsi="Times New Roman" w:cs="Times New Roman"/>
        </w:rPr>
        <w:t>, w których zatrudnionych jest do obsługi gości biznesowych około 530 000 osób. Hotele stanowią dominującą (64%). 56% procent obiektów może pomieścić między 101 a 500 osób. Średnia pojemność obiektu konferencyjnego w Wielkiej Brytanii to 391 osób. Rocznie realizowanych jest około 1,3 miliona spotkań konferencyjnych (ponad 70% z nich ma miejsce w miastach)</w:t>
      </w:r>
      <w:r w:rsidRPr="00245910">
        <w:rPr>
          <w:rStyle w:val="Odwoanieprzypisudolnego"/>
          <w:rFonts w:ascii="Times New Roman" w:hAnsi="Times New Roman" w:cs="Times New Roman"/>
        </w:rPr>
        <w:footnoteReference w:id="17"/>
      </w:r>
      <w:r w:rsidRPr="00245910">
        <w:rPr>
          <w:rFonts w:ascii="Times New Roman" w:hAnsi="Times New Roman" w:cs="Times New Roman"/>
        </w:rPr>
        <w:t>. Wśród nich 68% stanowią małe spotkania z liczbą uczestników nie przekraczającą 50 osób. Zauważyć należy, że 34% spotkań konferencyjnych jest organizowanych przez PCO (profesjonalnych organizatorów konferencji). Średnia liczba delegatów w spotkaniach zlecanych przez korporacje wyniosła 111 osób. Przeciętny czas trwania konferencji ogółem to 1,3 - 1,4 dnia</w:t>
      </w:r>
      <w:r w:rsidRPr="00245910">
        <w:rPr>
          <w:rStyle w:val="Odwoanieprzypisudolnego"/>
          <w:rFonts w:ascii="Times New Roman" w:hAnsi="Times New Roman" w:cs="Times New Roman"/>
        </w:rPr>
        <w:footnoteReference w:id="18"/>
      </w:r>
      <w:r w:rsidRPr="00245910">
        <w:rPr>
          <w:rFonts w:ascii="Times New Roman" w:hAnsi="Times New Roman" w:cs="Times New Roman"/>
        </w:rPr>
        <w:t xml:space="preserve">. 7% uczestników konferencyjnych spotkań organizacji krajowych, którzy przebywali 2 dni, przyjechało na spotkania z osobami towarzyszącymi, a 23% skorzystało z noclegów też przed lub po konferencji (tab. </w:t>
      </w:r>
      <w:r w:rsidR="00767161">
        <w:rPr>
          <w:rFonts w:ascii="Times New Roman" w:hAnsi="Times New Roman" w:cs="Times New Roman"/>
        </w:rPr>
        <w:t>1</w:t>
      </w:r>
      <w:r w:rsidRPr="00245910">
        <w:rPr>
          <w:rFonts w:ascii="Times New Roman" w:hAnsi="Times New Roman" w:cs="Times New Roman"/>
        </w:rPr>
        <w:t>). Uczestnicy spotkań firmowych rzadziej zabierają ze sobą osoby towarzyszące. Średni czas trwania konferencji kilkudniowych ogółem (krajowych i międzynarodowych) wyniósł 2,4 dnia (korporacyjne spotkania – 2,0 dnia; krajowe organizacje – 2,9 dnia; międzynarodowe organizacje - 3,6 dnia)</w:t>
      </w:r>
      <w:r w:rsidRPr="00245910">
        <w:rPr>
          <w:rStyle w:val="Odwoanieprzypisudolnego"/>
          <w:rFonts w:ascii="Times New Roman" w:hAnsi="Times New Roman" w:cs="Times New Roman"/>
        </w:rPr>
        <w:footnoteReference w:id="19"/>
      </w:r>
      <w:r w:rsidRPr="00245910">
        <w:rPr>
          <w:rFonts w:ascii="Times New Roman" w:hAnsi="Times New Roman" w:cs="Times New Roman"/>
        </w:rPr>
        <w:t>. Ponadto wcześniejsze badania wskazują, że 40% delegatów wraca w celach wypoczynkowych do miejsc, w których wcześniej przebywali służbowo</w:t>
      </w:r>
      <w:r w:rsidRPr="00245910">
        <w:rPr>
          <w:rStyle w:val="Odwoanieprzypisudolnego"/>
          <w:rFonts w:ascii="Times New Roman" w:hAnsi="Times New Roman" w:cs="Times New Roman"/>
        </w:rPr>
        <w:footnoteReference w:id="20"/>
      </w:r>
      <w:r w:rsidRPr="00245910">
        <w:rPr>
          <w:rFonts w:ascii="Times New Roman" w:hAnsi="Times New Roman" w:cs="Times New Roman"/>
        </w:rPr>
        <w:t>.</w:t>
      </w:r>
    </w:p>
    <w:p w14:paraId="43CD0EAE" w14:textId="77777777" w:rsidR="000951E8" w:rsidRPr="00245910" w:rsidRDefault="000951E8" w:rsidP="000951E8">
      <w:pPr>
        <w:pStyle w:val="Napis"/>
        <w:jc w:val="right"/>
      </w:pPr>
      <w:bookmarkStart w:id="0" w:name="_Toc318071298"/>
      <w:bookmarkStart w:id="1" w:name="_Toc234991911"/>
      <w:r w:rsidRPr="00245910">
        <w:t xml:space="preserve">Tabela </w:t>
      </w:r>
      <w:r w:rsidRPr="00245910">
        <w:fldChar w:fldCharType="begin"/>
      </w:r>
      <w:r w:rsidRPr="00245910">
        <w:instrText xml:space="preserve"> SEQ Tabela \* ARABIC </w:instrText>
      </w:r>
      <w:r w:rsidRPr="00245910">
        <w:fldChar w:fldCharType="separate"/>
      </w:r>
      <w:r w:rsidR="00767161">
        <w:rPr>
          <w:noProof/>
        </w:rPr>
        <w:t>1</w:t>
      </w:r>
      <w:r w:rsidRPr="00245910">
        <w:fldChar w:fldCharType="end"/>
      </w:r>
      <w:bookmarkEnd w:id="0"/>
    </w:p>
    <w:p w14:paraId="2CB90A05" w14:textId="77777777" w:rsidR="000951E8" w:rsidRPr="00245910" w:rsidRDefault="000951E8" w:rsidP="000951E8">
      <w:pPr>
        <w:pStyle w:val="Napis"/>
      </w:pPr>
      <w:r w:rsidRPr="00245910">
        <w:t>Wybrane charakterystyki spotkań konferencyjnych w Wielkiej Brytanii</w:t>
      </w:r>
      <w:bookmarkEnd w:id="1"/>
    </w:p>
    <w:tbl>
      <w:tblPr>
        <w:tblW w:w="8780" w:type="dxa"/>
        <w:jc w:val="center"/>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1400"/>
        <w:gridCol w:w="1860"/>
        <w:gridCol w:w="1860"/>
        <w:gridCol w:w="1860"/>
      </w:tblGrid>
      <w:tr w:rsidR="000951E8" w:rsidRPr="00245910" w14:paraId="04A9B2E2" w14:textId="77777777" w:rsidTr="00CE678A">
        <w:trPr>
          <w:trHeight w:val="765"/>
          <w:jc w:val="center"/>
        </w:trPr>
        <w:tc>
          <w:tcPr>
            <w:tcW w:w="3200" w:type="dxa"/>
            <w:gridSpan w:val="2"/>
            <w:shd w:val="clear" w:color="auto" w:fill="auto"/>
            <w:vAlign w:val="center"/>
          </w:tcPr>
          <w:p w14:paraId="51C22F5E" w14:textId="77777777" w:rsidR="000951E8" w:rsidRPr="00245910" w:rsidRDefault="000951E8" w:rsidP="00CE678A">
            <w:pPr>
              <w:jc w:val="center"/>
              <w:rPr>
                <w:rFonts w:ascii="Times New Roman" w:eastAsia="SimSun" w:hAnsi="Times New Roman" w:cs="Times New Roman"/>
                <w:b/>
                <w:bCs/>
                <w:sz w:val="20"/>
                <w:szCs w:val="20"/>
                <w:lang w:eastAsia="zh-CN"/>
              </w:rPr>
            </w:pPr>
            <w:r w:rsidRPr="00245910">
              <w:rPr>
                <w:rFonts w:ascii="Times New Roman" w:eastAsia="SimSun" w:hAnsi="Times New Roman" w:cs="Times New Roman"/>
                <w:sz w:val="20"/>
                <w:szCs w:val="20"/>
                <w:lang w:eastAsia="zh-CN"/>
              </w:rPr>
              <w:t> </w:t>
            </w:r>
            <w:r w:rsidRPr="00245910">
              <w:rPr>
                <w:rFonts w:ascii="Times New Roman" w:eastAsia="SimSun" w:hAnsi="Times New Roman" w:cs="Times New Roman"/>
                <w:b/>
                <w:bCs/>
                <w:sz w:val="20"/>
                <w:szCs w:val="20"/>
                <w:lang w:eastAsia="zh-CN"/>
              </w:rPr>
              <w:t>Spotkania konferencyjne</w:t>
            </w:r>
          </w:p>
        </w:tc>
        <w:tc>
          <w:tcPr>
            <w:tcW w:w="1860" w:type="dxa"/>
            <w:shd w:val="clear" w:color="auto" w:fill="auto"/>
            <w:vAlign w:val="center"/>
          </w:tcPr>
          <w:p w14:paraId="21A002EA"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 xml:space="preserve">średni czas trwania konferencji </w:t>
            </w:r>
          </w:p>
          <w:p w14:paraId="129C95B7"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(w dniach)</w:t>
            </w:r>
          </w:p>
        </w:tc>
        <w:tc>
          <w:tcPr>
            <w:tcW w:w="1860" w:type="dxa"/>
            <w:shd w:val="clear" w:color="auto" w:fill="auto"/>
            <w:vAlign w:val="center"/>
          </w:tcPr>
          <w:p w14:paraId="1C2844A1"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odsetek osób z osobami towarzyszącymi</w:t>
            </w:r>
          </w:p>
        </w:tc>
        <w:tc>
          <w:tcPr>
            <w:tcW w:w="1860" w:type="dxa"/>
            <w:shd w:val="clear" w:color="auto" w:fill="auto"/>
            <w:vAlign w:val="center"/>
          </w:tcPr>
          <w:p w14:paraId="4FDDA257"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 xml:space="preserve">odsetek osób zostających przed lub po konferencji </w:t>
            </w:r>
          </w:p>
        </w:tc>
      </w:tr>
      <w:tr w:rsidR="000951E8" w:rsidRPr="00245910" w14:paraId="041F529B" w14:textId="77777777" w:rsidTr="00CE678A">
        <w:trPr>
          <w:trHeight w:val="255"/>
          <w:jc w:val="center"/>
        </w:trPr>
        <w:tc>
          <w:tcPr>
            <w:tcW w:w="1800" w:type="dxa"/>
            <w:vMerge w:val="restart"/>
            <w:shd w:val="clear" w:color="auto" w:fill="auto"/>
            <w:vAlign w:val="center"/>
          </w:tcPr>
          <w:p w14:paraId="7D404251"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firmowe</w:t>
            </w:r>
          </w:p>
        </w:tc>
        <w:tc>
          <w:tcPr>
            <w:tcW w:w="1400" w:type="dxa"/>
            <w:shd w:val="clear" w:color="auto" w:fill="auto"/>
            <w:vAlign w:val="center"/>
          </w:tcPr>
          <w:p w14:paraId="253D22CD"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jednodniowe</w:t>
            </w:r>
          </w:p>
        </w:tc>
        <w:tc>
          <w:tcPr>
            <w:tcW w:w="1860" w:type="dxa"/>
            <w:shd w:val="clear" w:color="auto" w:fill="auto"/>
            <w:vAlign w:val="center"/>
          </w:tcPr>
          <w:p w14:paraId="356CD23D"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1,0</w:t>
            </w:r>
          </w:p>
        </w:tc>
        <w:tc>
          <w:tcPr>
            <w:tcW w:w="1860" w:type="dxa"/>
            <w:shd w:val="clear" w:color="auto" w:fill="auto"/>
            <w:vAlign w:val="center"/>
          </w:tcPr>
          <w:p w14:paraId="2ACA37BE"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2%</w:t>
            </w:r>
          </w:p>
        </w:tc>
        <w:tc>
          <w:tcPr>
            <w:tcW w:w="1860" w:type="dxa"/>
            <w:shd w:val="clear" w:color="auto" w:fill="auto"/>
            <w:vAlign w:val="center"/>
          </w:tcPr>
          <w:p w14:paraId="2AC935BD"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0%</w:t>
            </w:r>
          </w:p>
        </w:tc>
      </w:tr>
      <w:tr w:rsidR="000951E8" w:rsidRPr="00245910" w14:paraId="6543424B" w14:textId="77777777" w:rsidTr="00CE678A">
        <w:trPr>
          <w:trHeight w:val="255"/>
          <w:jc w:val="center"/>
        </w:trPr>
        <w:tc>
          <w:tcPr>
            <w:tcW w:w="1800" w:type="dxa"/>
            <w:vMerge/>
            <w:shd w:val="clear" w:color="auto" w:fill="auto"/>
            <w:vAlign w:val="center"/>
          </w:tcPr>
          <w:p w14:paraId="40B0A79A" w14:textId="77777777" w:rsidR="000951E8" w:rsidRPr="00245910" w:rsidRDefault="000951E8" w:rsidP="00CE678A">
            <w:pPr>
              <w:jc w:val="center"/>
              <w:rPr>
                <w:rFonts w:ascii="Times New Roman" w:eastAsia="SimSun" w:hAnsi="Times New Roman" w:cs="Times New Roman"/>
                <w:sz w:val="20"/>
                <w:szCs w:val="20"/>
                <w:lang w:eastAsia="zh-CN"/>
              </w:rPr>
            </w:pPr>
          </w:p>
        </w:tc>
        <w:tc>
          <w:tcPr>
            <w:tcW w:w="1400" w:type="dxa"/>
            <w:shd w:val="clear" w:color="auto" w:fill="auto"/>
            <w:vAlign w:val="center"/>
          </w:tcPr>
          <w:p w14:paraId="541A87A0"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kilkudniowe</w:t>
            </w:r>
          </w:p>
        </w:tc>
        <w:tc>
          <w:tcPr>
            <w:tcW w:w="1860" w:type="dxa"/>
            <w:shd w:val="clear" w:color="auto" w:fill="auto"/>
            <w:vAlign w:val="center"/>
          </w:tcPr>
          <w:p w14:paraId="18D1E64F"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2,0</w:t>
            </w:r>
          </w:p>
        </w:tc>
        <w:tc>
          <w:tcPr>
            <w:tcW w:w="1860" w:type="dxa"/>
            <w:shd w:val="clear" w:color="auto" w:fill="auto"/>
            <w:vAlign w:val="center"/>
          </w:tcPr>
          <w:p w14:paraId="477D2EBA"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2%</w:t>
            </w:r>
          </w:p>
        </w:tc>
        <w:tc>
          <w:tcPr>
            <w:tcW w:w="1860" w:type="dxa"/>
            <w:shd w:val="clear" w:color="auto" w:fill="auto"/>
            <w:vAlign w:val="center"/>
          </w:tcPr>
          <w:p w14:paraId="28768118"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6%</w:t>
            </w:r>
          </w:p>
        </w:tc>
      </w:tr>
      <w:tr w:rsidR="000951E8" w:rsidRPr="00245910" w14:paraId="5E428BE9" w14:textId="77777777" w:rsidTr="00CE678A">
        <w:trPr>
          <w:trHeight w:val="83"/>
          <w:jc w:val="center"/>
        </w:trPr>
        <w:tc>
          <w:tcPr>
            <w:tcW w:w="1800" w:type="dxa"/>
            <w:vMerge w:val="restart"/>
            <w:shd w:val="clear" w:color="auto" w:fill="auto"/>
            <w:vAlign w:val="center"/>
          </w:tcPr>
          <w:p w14:paraId="60532983"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krajowych organizacji</w:t>
            </w:r>
          </w:p>
        </w:tc>
        <w:tc>
          <w:tcPr>
            <w:tcW w:w="1400" w:type="dxa"/>
            <w:shd w:val="clear" w:color="auto" w:fill="auto"/>
            <w:vAlign w:val="center"/>
          </w:tcPr>
          <w:p w14:paraId="716C6080"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jednodniowe</w:t>
            </w:r>
          </w:p>
        </w:tc>
        <w:tc>
          <w:tcPr>
            <w:tcW w:w="1860" w:type="dxa"/>
            <w:shd w:val="clear" w:color="auto" w:fill="auto"/>
            <w:vAlign w:val="center"/>
          </w:tcPr>
          <w:p w14:paraId="65BF0D80"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1,0</w:t>
            </w:r>
          </w:p>
        </w:tc>
        <w:tc>
          <w:tcPr>
            <w:tcW w:w="1860" w:type="dxa"/>
            <w:shd w:val="clear" w:color="auto" w:fill="auto"/>
            <w:vAlign w:val="center"/>
          </w:tcPr>
          <w:p w14:paraId="6D75E334"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1%</w:t>
            </w:r>
          </w:p>
        </w:tc>
        <w:tc>
          <w:tcPr>
            <w:tcW w:w="1860" w:type="dxa"/>
            <w:shd w:val="clear" w:color="auto" w:fill="auto"/>
            <w:vAlign w:val="center"/>
          </w:tcPr>
          <w:p w14:paraId="5E9A3DD2"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0%</w:t>
            </w:r>
          </w:p>
        </w:tc>
      </w:tr>
      <w:tr w:rsidR="000951E8" w:rsidRPr="00245910" w14:paraId="5AA90111" w14:textId="77777777" w:rsidTr="00CE678A">
        <w:trPr>
          <w:trHeight w:val="255"/>
          <w:jc w:val="center"/>
        </w:trPr>
        <w:tc>
          <w:tcPr>
            <w:tcW w:w="1800" w:type="dxa"/>
            <w:vMerge/>
            <w:shd w:val="clear" w:color="auto" w:fill="auto"/>
            <w:vAlign w:val="center"/>
          </w:tcPr>
          <w:p w14:paraId="39FE55B1" w14:textId="77777777" w:rsidR="000951E8" w:rsidRPr="00245910" w:rsidRDefault="000951E8" w:rsidP="00CE678A">
            <w:pPr>
              <w:jc w:val="center"/>
              <w:rPr>
                <w:rFonts w:ascii="Times New Roman" w:eastAsia="SimSun" w:hAnsi="Times New Roman" w:cs="Times New Roman"/>
                <w:sz w:val="20"/>
                <w:szCs w:val="20"/>
                <w:lang w:eastAsia="zh-CN"/>
              </w:rPr>
            </w:pPr>
          </w:p>
        </w:tc>
        <w:tc>
          <w:tcPr>
            <w:tcW w:w="1400" w:type="dxa"/>
            <w:shd w:val="clear" w:color="auto" w:fill="auto"/>
            <w:vAlign w:val="center"/>
          </w:tcPr>
          <w:p w14:paraId="6D2A3E4A"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kilkudniowe</w:t>
            </w:r>
          </w:p>
        </w:tc>
        <w:tc>
          <w:tcPr>
            <w:tcW w:w="1860" w:type="dxa"/>
            <w:shd w:val="clear" w:color="auto" w:fill="auto"/>
            <w:vAlign w:val="center"/>
          </w:tcPr>
          <w:p w14:paraId="08A498AB"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2,9</w:t>
            </w:r>
          </w:p>
        </w:tc>
        <w:tc>
          <w:tcPr>
            <w:tcW w:w="1860" w:type="dxa"/>
            <w:shd w:val="clear" w:color="auto" w:fill="auto"/>
            <w:vAlign w:val="center"/>
          </w:tcPr>
          <w:p w14:paraId="2D818E4C"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7%</w:t>
            </w:r>
          </w:p>
        </w:tc>
        <w:tc>
          <w:tcPr>
            <w:tcW w:w="1860" w:type="dxa"/>
            <w:shd w:val="clear" w:color="auto" w:fill="auto"/>
            <w:vAlign w:val="center"/>
          </w:tcPr>
          <w:p w14:paraId="5E3CB999"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23%</w:t>
            </w:r>
          </w:p>
        </w:tc>
      </w:tr>
      <w:tr w:rsidR="000951E8" w:rsidRPr="00245910" w14:paraId="331ACC27" w14:textId="77777777" w:rsidTr="00CE678A">
        <w:trPr>
          <w:trHeight w:val="510"/>
          <w:jc w:val="center"/>
        </w:trPr>
        <w:tc>
          <w:tcPr>
            <w:tcW w:w="1800" w:type="dxa"/>
            <w:shd w:val="clear" w:color="auto" w:fill="auto"/>
            <w:vAlign w:val="center"/>
          </w:tcPr>
          <w:p w14:paraId="209AC4E4"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międzynarodowych organizacji</w:t>
            </w:r>
          </w:p>
        </w:tc>
        <w:tc>
          <w:tcPr>
            <w:tcW w:w="1400" w:type="dxa"/>
            <w:shd w:val="clear" w:color="auto" w:fill="auto"/>
            <w:vAlign w:val="center"/>
          </w:tcPr>
          <w:p w14:paraId="6C801EE4"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kilkudniowe</w:t>
            </w:r>
          </w:p>
        </w:tc>
        <w:tc>
          <w:tcPr>
            <w:tcW w:w="1860" w:type="dxa"/>
            <w:shd w:val="clear" w:color="auto" w:fill="auto"/>
            <w:vAlign w:val="center"/>
          </w:tcPr>
          <w:p w14:paraId="0A2DF649"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3,6</w:t>
            </w:r>
          </w:p>
        </w:tc>
        <w:tc>
          <w:tcPr>
            <w:tcW w:w="1860" w:type="dxa"/>
            <w:shd w:val="clear" w:color="auto" w:fill="auto"/>
            <w:vAlign w:val="center"/>
          </w:tcPr>
          <w:p w14:paraId="204DFFE6"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12%</w:t>
            </w:r>
          </w:p>
        </w:tc>
        <w:tc>
          <w:tcPr>
            <w:tcW w:w="1860" w:type="dxa"/>
            <w:shd w:val="clear" w:color="auto" w:fill="auto"/>
            <w:vAlign w:val="center"/>
          </w:tcPr>
          <w:p w14:paraId="6B5EE8ED"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31%</w:t>
            </w:r>
          </w:p>
        </w:tc>
      </w:tr>
    </w:tbl>
    <w:p w14:paraId="2616B7FB" w14:textId="77777777" w:rsidR="000951E8" w:rsidRPr="00245910" w:rsidRDefault="000951E8" w:rsidP="000951E8">
      <w:pPr>
        <w:jc w:val="both"/>
        <w:rPr>
          <w:rFonts w:ascii="Times New Roman" w:hAnsi="Times New Roman" w:cs="Times New Roman"/>
          <w:sz w:val="20"/>
          <w:szCs w:val="20"/>
          <w:lang w:val="en-US"/>
        </w:rPr>
      </w:pPr>
    </w:p>
    <w:p w14:paraId="509CDA6B" w14:textId="77777777" w:rsidR="000951E8" w:rsidRPr="00245910" w:rsidRDefault="000951E8" w:rsidP="000951E8">
      <w:pPr>
        <w:jc w:val="both"/>
        <w:rPr>
          <w:rFonts w:ascii="Times New Roman" w:hAnsi="Times New Roman" w:cs="Times New Roman"/>
          <w:sz w:val="20"/>
          <w:szCs w:val="20"/>
          <w:lang w:val="en-US"/>
        </w:rPr>
      </w:pPr>
      <w:r w:rsidRPr="00245910">
        <w:rPr>
          <w:rFonts w:ascii="Times New Roman" w:hAnsi="Times New Roman" w:cs="Times New Roman"/>
          <w:sz w:val="20"/>
          <w:szCs w:val="20"/>
          <w:lang w:val="en-US"/>
        </w:rPr>
        <w:t>Źródło: Delegate Expenditure Survey 2006, UK National Tourist Boards, London 2007.</w:t>
      </w:r>
    </w:p>
    <w:p w14:paraId="2C742A97" w14:textId="77777777" w:rsidR="000951E8" w:rsidRPr="00245910" w:rsidRDefault="000951E8" w:rsidP="000951E8">
      <w:pPr>
        <w:jc w:val="both"/>
        <w:rPr>
          <w:rFonts w:ascii="Times New Roman" w:hAnsi="Times New Roman" w:cs="Times New Roman"/>
          <w:lang w:val="en-US"/>
        </w:rPr>
      </w:pPr>
    </w:p>
    <w:p w14:paraId="7F92B606" w14:textId="77777777" w:rsidR="000951E8" w:rsidRPr="00245910" w:rsidRDefault="000951E8" w:rsidP="000951E8">
      <w:pPr>
        <w:spacing w:line="360" w:lineRule="auto"/>
        <w:ind w:firstLine="709"/>
        <w:jc w:val="both"/>
        <w:rPr>
          <w:rFonts w:ascii="Times New Roman" w:hAnsi="Times New Roman" w:cs="Times New Roman"/>
        </w:rPr>
      </w:pPr>
      <w:r w:rsidRPr="00245910">
        <w:rPr>
          <w:rFonts w:ascii="Times New Roman" w:hAnsi="Times New Roman" w:cs="Times New Roman"/>
        </w:rPr>
        <w:t xml:space="preserve">Jednym z najbardziej dochodowych uczestników spotkań konferencyjnych w Wielkiej Brytanii są Amerykanie. Dzienne wydatki w przeliczeniu na jednego uczestnika w Londynie szacowane są na 240 </w:t>
      </w:r>
      <w:r w:rsidRPr="00245910">
        <w:rPr>
          <w:rFonts w:ascii="Times New Roman" w:eastAsia="SimSun" w:hAnsi="Times New Roman" w:cs="Times New Roman"/>
          <w:lang w:eastAsia="zh-CN"/>
        </w:rPr>
        <w:t>£</w:t>
      </w:r>
      <w:r w:rsidRPr="00245910">
        <w:rPr>
          <w:rStyle w:val="Odwoanieprzypisudolnego"/>
          <w:rFonts w:ascii="Times New Roman" w:eastAsia="SimSun" w:hAnsi="Times New Roman" w:cs="Times New Roman"/>
          <w:lang w:eastAsia="zh-CN"/>
        </w:rPr>
        <w:footnoteReference w:id="21"/>
      </w:r>
      <w:r w:rsidRPr="00245910">
        <w:rPr>
          <w:rFonts w:ascii="Times New Roman" w:eastAsia="SimSun" w:hAnsi="Times New Roman" w:cs="Times New Roman"/>
          <w:lang w:eastAsia="zh-CN"/>
        </w:rPr>
        <w:t>, a poza stolicą około 170$. Wielka Brytania jest głównym miejscem konferencji organizowanych poza kontynentem amerykańskim przez stowarzyszenia i firmy z USA (całkowita liczba stowarzyszeń w USA - 145 000, w tym 13 000 międzynarodowych, z siedzibami głównie w Waszyngtonie, Nowym Jorku i Chicago)</w:t>
      </w:r>
      <w:r w:rsidRPr="00245910">
        <w:rPr>
          <w:rStyle w:val="Odwoanieprzypisudolnego"/>
          <w:rFonts w:ascii="Times New Roman" w:eastAsia="SimSun" w:hAnsi="Times New Roman" w:cs="Times New Roman"/>
          <w:lang w:eastAsia="zh-CN"/>
        </w:rPr>
        <w:footnoteReference w:id="22"/>
      </w:r>
      <w:r w:rsidRPr="00245910">
        <w:rPr>
          <w:rFonts w:ascii="Times New Roman" w:eastAsia="SimSun" w:hAnsi="Times New Roman" w:cs="Times New Roman"/>
          <w:lang w:eastAsia="zh-CN"/>
        </w:rPr>
        <w:t>.</w:t>
      </w:r>
      <w:r w:rsidRPr="00245910">
        <w:rPr>
          <w:rFonts w:ascii="Times New Roman" w:hAnsi="Times New Roman" w:cs="Times New Roman"/>
        </w:rPr>
        <w:t xml:space="preserve"> </w:t>
      </w:r>
    </w:p>
    <w:p w14:paraId="3A5DF5D9" w14:textId="77777777" w:rsidR="000951E8" w:rsidRPr="00245910" w:rsidRDefault="000951E8" w:rsidP="000951E8">
      <w:pPr>
        <w:pStyle w:val="Napis"/>
        <w:jc w:val="right"/>
      </w:pPr>
      <w:bookmarkStart w:id="2" w:name="_Toc318071299"/>
      <w:bookmarkStart w:id="3" w:name="_Toc234991913"/>
      <w:r w:rsidRPr="00245910">
        <w:t xml:space="preserve">Tabela </w:t>
      </w:r>
      <w:r w:rsidRPr="00245910">
        <w:fldChar w:fldCharType="begin"/>
      </w:r>
      <w:r w:rsidRPr="00245910">
        <w:instrText xml:space="preserve"> SEQ Tabela \* ARABIC </w:instrText>
      </w:r>
      <w:r w:rsidRPr="00245910">
        <w:fldChar w:fldCharType="separate"/>
      </w:r>
      <w:r w:rsidR="00767161">
        <w:rPr>
          <w:noProof/>
        </w:rPr>
        <w:t>2</w:t>
      </w:r>
      <w:r w:rsidRPr="00245910">
        <w:fldChar w:fldCharType="end"/>
      </w:r>
      <w:bookmarkEnd w:id="2"/>
      <w:r w:rsidRPr="00245910">
        <w:t xml:space="preserve"> </w:t>
      </w:r>
    </w:p>
    <w:p w14:paraId="41AD4E70" w14:textId="77777777" w:rsidR="000951E8" w:rsidRPr="00245910" w:rsidRDefault="000951E8" w:rsidP="000951E8">
      <w:pPr>
        <w:pStyle w:val="Napis"/>
      </w:pPr>
      <w:r w:rsidRPr="00245910">
        <w:t>Rozkład kosztów pobytu konferencyjnego pomiędzy delegatów a PCO</w:t>
      </w:r>
      <w:bookmarkEnd w:id="3"/>
    </w:p>
    <w:tbl>
      <w:tblPr>
        <w:tblW w:w="8716"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4"/>
        <w:gridCol w:w="1329"/>
        <w:gridCol w:w="1323"/>
        <w:gridCol w:w="1329"/>
        <w:gridCol w:w="1174"/>
        <w:gridCol w:w="1727"/>
      </w:tblGrid>
      <w:tr w:rsidR="000951E8" w:rsidRPr="00245910" w14:paraId="23347C85" w14:textId="77777777" w:rsidTr="00CE678A">
        <w:trPr>
          <w:trHeight w:val="283"/>
          <w:jc w:val="center"/>
        </w:trPr>
        <w:tc>
          <w:tcPr>
            <w:tcW w:w="1834" w:type="dxa"/>
            <w:vMerge w:val="restart"/>
            <w:shd w:val="clear" w:color="auto" w:fill="auto"/>
            <w:vAlign w:val="center"/>
          </w:tcPr>
          <w:p w14:paraId="30A6F8E7" w14:textId="77777777" w:rsidR="000951E8" w:rsidRPr="00245910" w:rsidRDefault="000951E8" w:rsidP="00CE678A">
            <w:pPr>
              <w:jc w:val="right"/>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 </w:t>
            </w:r>
          </w:p>
          <w:p w14:paraId="10A78412" w14:textId="77777777" w:rsidR="000951E8" w:rsidRPr="00245910" w:rsidRDefault="000951E8" w:rsidP="00CE678A">
            <w:pPr>
              <w:jc w:val="right"/>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 </w:t>
            </w:r>
          </w:p>
        </w:tc>
        <w:tc>
          <w:tcPr>
            <w:tcW w:w="2652" w:type="dxa"/>
            <w:gridSpan w:val="2"/>
            <w:shd w:val="clear" w:color="auto" w:fill="auto"/>
            <w:vAlign w:val="center"/>
          </w:tcPr>
          <w:p w14:paraId="05826B54"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konferencyjne spotkanie firmowe</w:t>
            </w:r>
          </w:p>
        </w:tc>
        <w:tc>
          <w:tcPr>
            <w:tcW w:w="2503" w:type="dxa"/>
            <w:gridSpan w:val="2"/>
            <w:shd w:val="clear" w:color="auto" w:fill="auto"/>
            <w:vAlign w:val="center"/>
          </w:tcPr>
          <w:p w14:paraId="775C1F3F"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konferencyjne spotkanie organizacji krajowej </w:t>
            </w:r>
          </w:p>
        </w:tc>
        <w:tc>
          <w:tcPr>
            <w:tcW w:w="1727" w:type="dxa"/>
            <w:vMerge w:val="restart"/>
            <w:shd w:val="clear" w:color="auto" w:fill="auto"/>
            <w:vAlign w:val="center"/>
          </w:tcPr>
          <w:p w14:paraId="2427BAC2"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konferencyjne spotkanie organizacji międzynarodowej </w:t>
            </w:r>
          </w:p>
        </w:tc>
      </w:tr>
      <w:tr w:rsidR="000951E8" w:rsidRPr="00245910" w14:paraId="084152E6" w14:textId="77777777" w:rsidTr="00CE678A">
        <w:trPr>
          <w:trHeight w:val="510"/>
          <w:jc w:val="center"/>
        </w:trPr>
        <w:tc>
          <w:tcPr>
            <w:tcW w:w="1834" w:type="dxa"/>
            <w:vMerge/>
            <w:shd w:val="clear" w:color="auto" w:fill="auto"/>
            <w:vAlign w:val="center"/>
          </w:tcPr>
          <w:p w14:paraId="2F99BE34" w14:textId="77777777" w:rsidR="000951E8" w:rsidRPr="00245910" w:rsidRDefault="000951E8" w:rsidP="00CE678A">
            <w:pPr>
              <w:jc w:val="right"/>
              <w:rPr>
                <w:rFonts w:ascii="Times New Roman" w:eastAsia="SimSun" w:hAnsi="Times New Roman" w:cs="Times New Roman"/>
                <w:sz w:val="20"/>
                <w:szCs w:val="20"/>
                <w:lang w:eastAsia="zh-CN"/>
              </w:rPr>
            </w:pPr>
          </w:p>
        </w:tc>
        <w:tc>
          <w:tcPr>
            <w:tcW w:w="1329" w:type="dxa"/>
            <w:shd w:val="clear" w:color="auto" w:fill="auto"/>
            <w:vAlign w:val="center"/>
          </w:tcPr>
          <w:p w14:paraId="38229A19"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jednodniowe</w:t>
            </w:r>
          </w:p>
        </w:tc>
        <w:tc>
          <w:tcPr>
            <w:tcW w:w="1323" w:type="dxa"/>
            <w:shd w:val="clear" w:color="auto" w:fill="auto"/>
            <w:vAlign w:val="center"/>
          </w:tcPr>
          <w:p w14:paraId="227E7651"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wielodniowe</w:t>
            </w:r>
          </w:p>
        </w:tc>
        <w:tc>
          <w:tcPr>
            <w:tcW w:w="1329" w:type="dxa"/>
            <w:shd w:val="clear" w:color="auto" w:fill="auto"/>
            <w:vAlign w:val="center"/>
          </w:tcPr>
          <w:p w14:paraId="688DD4F8"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jednodniowe</w:t>
            </w:r>
          </w:p>
        </w:tc>
        <w:tc>
          <w:tcPr>
            <w:tcW w:w="1174" w:type="dxa"/>
            <w:shd w:val="clear" w:color="auto" w:fill="auto"/>
            <w:vAlign w:val="center"/>
          </w:tcPr>
          <w:p w14:paraId="24301C3E"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wielodniowe</w:t>
            </w:r>
          </w:p>
        </w:tc>
        <w:tc>
          <w:tcPr>
            <w:tcW w:w="1727" w:type="dxa"/>
            <w:vMerge/>
            <w:shd w:val="clear" w:color="auto" w:fill="auto"/>
            <w:vAlign w:val="center"/>
          </w:tcPr>
          <w:p w14:paraId="64B82A72" w14:textId="77777777" w:rsidR="000951E8" w:rsidRPr="00245910" w:rsidRDefault="000951E8" w:rsidP="00CE678A">
            <w:pPr>
              <w:jc w:val="center"/>
              <w:rPr>
                <w:rFonts w:ascii="Times New Roman" w:eastAsia="SimSun" w:hAnsi="Times New Roman" w:cs="Times New Roman"/>
                <w:sz w:val="20"/>
                <w:szCs w:val="20"/>
                <w:lang w:eastAsia="zh-CN"/>
              </w:rPr>
            </w:pPr>
          </w:p>
        </w:tc>
      </w:tr>
      <w:tr w:rsidR="000951E8" w:rsidRPr="00245910" w14:paraId="557A9136" w14:textId="77777777" w:rsidTr="00CE678A">
        <w:trPr>
          <w:trHeight w:val="285"/>
          <w:jc w:val="center"/>
        </w:trPr>
        <w:tc>
          <w:tcPr>
            <w:tcW w:w="1834" w:type="dxa"/>
            <w:shd w:val="clear" w:color="auto" w:fill="auto"/>
            <w:vAlign w:val="center"/>
          </w:tcPr>
          <w:p w14:paraId="4D160238" w14:textId="77777777" w:rsidR="000951E8" w:rsidRPr="00245910" w:rsidRDefault="000951E8" w:rsidP="00CE678A">
            <w:pPr>
              <w:jc w:val="right"/>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delegat</w:t>
            </w:r>
          </w:p>
        </w:tc>
        <w:tc>
          <w:tcPr>
            <w:tcW w:w="1329" w:type="dxa"/>
            <w:shd w:val="clear" w:color="auto" w:fill="auto"/>
            <w:vAlign w:val="center"/>
          </w:tcPr>
          <w:p w14:paraId="605FEED1"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16%</w:t>
            </w:r>
          </w:p>
        </w:tc>
        <w:tc>
          <w:tcPr>
            <w:tcW w:w="1323" w:type="dxa"/>
            <w:shd w:val="clear" w:color="auto" w:fill="auto"/>
            <w:vAlign w:val="center"/>
          </w:tcPr>
          <w:p w14:paraId="5B59A4E9"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35%</w:t>
            </w:r>
          </w:p>
        </w:tc>
        <w:tc>
          <w:tcPr>
            <w:tcW w:w="1329" w:type="dxa"/>
            <w:shd w:val="clear" w:color="auto" w:fill="auto"/>
            <w:vAlign w:val="center"/>
          </w:tcPr>
          <w:p w14:paraId="19186872"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41%</w:t>
            </w:r>
          </w:p>
        </w:tc>
        <w:tc>
          <w:tcPr>
            <w:tcW w:w="1174" w:type="dxa"/>
            <w:shd w:val="clear" w:color="auto" w:fill="auto"/>
            <w:vAlign w:val="center"/>
          </w:tcPr>
          <w:p w14:paraId="586BA32C"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48%</w:t>
            </w:r>
          </w:p>
        </w:tc>
        <w:tc>
          <w:tcPr>
            <w:tcW w:w="1727" w:type="dxa"/>
            <w:shd w:val="clear" w:color="auto" w:fill="auto"/>
            <w:vAlign w:val="center"/>
          </w:tcPr>
          <w:p w14:paraId="345FACF2"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66%</w:t>
            </w:r>
          </w:p>
        </w:tc>
      </w:tr>
      <w:tr w:rsidR="000951E8" w:rsidRPr="00245910" w14:paraId="0EF65802" w14:textId="77777777" w:rsidTr="00CE678A">
        <w:trPr>
          <w:trHeight w:val="307"/>
          <w:jc w:val="center"/>
        </w:trPr>
        <w:tc>
          <w:tcPr>
            <w:tcW w:w="1834" w:type="dxa"/>
            <w:shd w:val="clear" w:color="auto" w:fill="auto"/>
            <w:vAlign w:val="center"/>
          </w:tcPr>
          <w:p w14:paraId="5A21A187" w14:textId="77777777" w:rsidR="000951E8" w:rsidRPr="00245910" w:rsidRDefault="000951E8" w:rsidP="00CE678A">
            <w:pPr>
              <w:jc w:val="right"/>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organizator</w:t>
            </w:r>
          </w:p>
        </w:tc>
        <w:tc>
          <w:tcPr>
            <w:tcW w:w="1329" w:type="dxa"/>
            <w:shd w:val="clear" w:color="auto" w:fill="auto"/>
            <w:vAlign w:val="center"/>
          </w:tcPr>
          <w:p w14:paraId="573E9ADF"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84%</w:t>
            </w:r>
          </w:p>
        </w:tc>
        <w:tc>
          <w:tcPr>
            <w:tcW w:w="1323" w:type="dxa"/>
            <w:shd w:val="clear" w:color="auto" w:fill="auto"/>
            <w:vAlign w:val="center"/>
          </w:tcPr>
          <w:p w14:paraId="17C84D42"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65%</w:t>
            </w:r>
          </w:p>
        </w:tc>
        <w:tc>
          <w:tcPr>
            <w:tcW w:w="1329" w:type="dxa"/>
            <w:shd w:val="clear" w:color="auto" w:fill="auto"/>
            <w:vAlign w:val="center"/>
          </w:tcPr>
          <w:p w14:paraId="7A489432"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59%</w:t>
            </w:r>
          </w:p>
        </w:tc>
        <w:tc>
          <w:tcPr>
            <w:tcW w:w="1174" w:type="dxa"/>
            <w:shd w:val="clear" w:color="auto" w:fill="auto"/>
            <w:vAlign w:val="center"/>
          </w:tcPr>
          <w:p w14:paraId="4D6A3D58"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52%</w:t>
            </w:r>
          </w:p>
        </w:tc>
        <w:tc>
          <w:tcPr>
            <w:tcW w:w="1727" w:type="dxa"/>
            <w:shd w:val="clear" w:color="auto" w:fill="auto"/>
            <w:vAlign w:val="center"/>
          </w:tcPr>
          <w:p w14:paraId="7FC04A7B" w14:textId="77777777" w:rsidR="000951E8" w:rsidRPr="00245910" w:rsidRDefault="000951E8" w:rsidP="00CE678A">
            <w:pPr>
              <w:jc w:val="center"/>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34%</w:t>
            </w:r>
          </w:p>
        </w:tc>
      </w:tr>
      <w:tr w:rsidR="000951E8" w:rsidRPr="00245910" w14:paraId="34958908" w14:textId="77777777" w:rsidTr="00CE678A">
        <w:trPr>
          <w:trHeight w:val="510"/>
          <w:jc w:val="center"/>
        </w:trPr>
        <w:tc>
          <w:tcPr>
            <w:tcW w:w="1834" w:type="dxa"/>
            <w:shd w:val="clear" w:color="auto" w:fill="auto"/>
            <w:vAlign w:val="center"/>
          </w:tcPr>
          <w:p w14:paraId="1B9AFA01" w14:textId="77777777" w:rsidR="000951E8" w:rsidRPr="00245910" w:rsidRDefault="000951E8" w:rsidP="00CE678A">
            <w:pPr>
              <w:jc w:val="right"/>
              <w:rPr>
                <w:rFonts w:ascii="Times New Roman" w:eastAsia="SimSun" w:hAnsi="Times New Roman" w:cs="Times New Roman"/>
                <w:b/>
                <w:bCs/>
                <w:sz w:val="20"/>
                <w:szCs w:val="20"/>
                <w:lang w:eastAsia="zh-CN"/>
              </w:rPr>
            </w:pPr>
            <w:r w:rsidRPr="00245910">
              <w:rPr>
                <w:rFonts w:ascii="Times New Roman" w:eastAsia="SimSun" w:hAnsi="Times New Roman" w:cs="Times New Roman"/>
                <w:b/>
                <w:bCs/>
                <w:sz w:val="20"/>
                <w:szCs w:val="20"/>
                <w:lang w:eastAsia="zh-CN"/>
              </w:rPr>
              <w:t>całkowite wydatki na dzień na delegata (w £)</w:t>
            </w:r>
          </w:p>
        </w:tc>
        <w:tc>
          <w:tcPr>
            <w:tcW w:w="1329" w:type="dxa"/>
            <w:shd w:val="clear" w:color="auto" w:fill="auto"/>
            <w:vAlign w:val="center"/>
          </w:tcPr>
          <w:p w14:paraId="2375B176" w14:textId="77777777" w:rsidR="000951E8" w:rsidRPr="00245910" w:rsidRDefault="000951E8" w:rsidP="00CE678A">
            <w:pPr>
              <w:jc w:val="center"/>
              <w:rPr>
                <w:rFonts w:ascii="Times New Roman" w:eastAsia="SimSun" w:hAnsi="Times New Roman" w:cs="Times New Roman"/>
                <w:b/>
                <w:bCs/>
                <w:sz w:val="20"/>
                <w:szCs w:val="20"/>
                <w:lang w:eastAsia="zh-CN"/>
              </w:rPr>
            </w:pPr>
            <w:r w:rsidRPr="00245910">
              <w:rPr>
                <w:rFonts w:ascii="Times New Roman" w:eastAsia="SimSun" w:hAnsi="Times New Roman" w:cs="Times New Roman"/>
                <w:b/>
                <w:bCs/>
                <w:sz w:val="20"/>
                <w:szCs w:val="20"/>
                <w:lang w:eastAsia="zh-CN"/>
              </w:rPr>
              <w:t>120</w:t>
            </w:r>
          </w:p>
        </w:tc>
        <w:tc>
          <w:tcPr>
            <w:tcW w:w="1323" w:type="dxa"/>
            <w:shd w:val="clear" w:color="auto" w:fill="auto"/>
            <w:vAlign w:val="center"/>
          </w:tcPr>
          <w:p w14:paraId="7525BF13" w14:textId="77777777" w:rsidR="000951E8" w:rsidRPr="00245910" w:rsidRDefault="000951E8" w:rsidP="00CE678A">
            <w:pPr>
              <w:jc w:val="center"/>
              <w:rPr>
                <w:rFonts w:ascii="Times New Roman" w:eastAsia="SimSun" w:hAnsi="Times New Roman" w:cs="Times New Roman"/>
                <w:b/>
                <w:bCs/>
                <w:sz w:val="20"/>
                <w:szCs w:val="20"/>
                <w:lang w:eastAsia="zh-CN"/>
              </w:rPr>
            </w:pPr>
            <w:r w:rsidRPr="00245910">
              <w:rPr>
                <w:rFonts w:ascii="Times New Roman" w:eastAsia="SimSun" w:hAnsi="Times New Roman" w:cs="Times New Roman"/>
                <w:b/>
                <w:bCs/>
                <w:sz w:val="20"/>
                <w:szCs w:val="20"/>
                <w:lang w:eastAsia="zh-CN"/>
              </w:rPr>
              <w:t>459</w:t>
            </w:r>
          </w:p>
        </w:tc>
        <w:tc>
          <w:tcPr>
            <w:tcW w:w="1329" w:type="dxa"/>
            <w:shd w:val="clear" w:color="auto" w:fill="auto"/>
            <w:vAlign w:val="center"/>
          </w:tcPr>
          <w:p w14:paraId="4420397B" w14:textId="77777777" w:rsidR="000951E8" w:rsidRPr="00245910" w:rsidRDefault="000951E8" w:rsidP="00CE678A">
            <w:pPr>
              <w:jc w:val="center"/>
              <w:rPr>
                <w:rFonts w:ascii="Times New Roman" w:eastAsia="SimSun" w:hAnsi="Times New Roman" w:cs="Times New Roman"/>
                <w:b/>
                <w:bCs/>
                <w:sz w:val="20"/>
                <w:szCs w:val="20"/>
                <w:lang w:eastAsia="zh-CN"/>
              </w:rPr>
            </w:pPr>
            <w:r w:rsidRPr="00245910">
              <w:rPr>
                <w:rFonts w:ascii="Times New Roman" w:eastAsia="SimSun" w:hAnsi="Times New Roman" w:cs="Times New Roman"/>
                <w:b/>
                <w:bCs/>
                <w:sz w:val="20"/>
                <w:szCs w:val="20"/>
                <w:lang w:eastAsia="zh-CN"/>
              </w:rPr>
              <w:t>170</w:t>
            </w:r>
          </w:p>
        </w:tc>
        <w:tc>
          <w:tcPr>
            <w:tcW w:w="1174" w:type="dxa"/>
            <w:shd w:val="clear" w:color="auto" w:fill="auto"/>
            <w:vAlign w:val="center"/>
          </w:tcPr>
          <w:p w14:paraId="234A0E02" w14:textId="77777777" w:rsidR="000951E8" w:rsidRPr="00245910" w:rsidRDefault="000951E8" w:rsidP="00CE678A">
            <w:pPr>
              <w:jc w:val="center"/>
              <w:rPr>
                <w:rFonts w:ascii="Times New Roman" w:eastAsia="SimSun" w:hAnsi="Times New Roman" w:cs="Times New Roman"/>
                <w:b/>
                <w:bCs/>
                <w:sz w:val="20"/>
                <w:szCs w:val="20"/>
                <w:lang w:eastAsia="zh-CN"/>
              </w:rPr>
            </w:pPr>
            <w:r w:rsidRPr="00245910">
              <w:rPr>
                <w:rFonts w:ascii="Times New Roman" w:eastAsia="SimSun" w:hAnsi="Times New Roman" w:cs="Times New Roman"/>
                <w:b/>
                <w:bCs/>
                <w:sz w:val="20"/>
                <w:szCs w:val="20"/>
                <w:lang w:eastAsia="zh-CN"/>
              </w:rPr>
              <w:t>461</w:t>
            </w:r>
          </w:p>
        </w:tc>
        <w:tc>
          <w:tcPr>
            <w:tcW w:w="1727" w:type="dxa"/>
            <w:shd w:val="clear" w:color="auto" w:fill="auto"/>
            <w:vAlign w:val="center"/>
          </w:tcPr>
          <w:p w14:paraId="6B0832E6" w14:textId="77777777" w:rsidR="000951E8" w:rsidRPr="00245910" w:rsidRDefault="000951E8" w:rsidP="00CE678A">
            <w:pPr>
              <w:jc w:val="center"/>
              <w:rPr>
                <w:rFonts w:ascii="Times New Roman" w:eastAsia="SimSun" w:hAnsi="Times New Roman" w:cs="Times New Roman"/>
                <w:b/>
                <w:bCs/>
                <w:sz w:val="20"/>
                <w:szCs w:val="20"/>
                <w:lang w:eastAsia="zh-CN"/>
              </w:rPr>
            </w:pPr>
            <w:r w:rsidRPr="00245910">
              <w:rPr>
                <w:rFonts w:ascii="Times New Roman" w:eastAsia="SimSun" w:hAnsi="Times New Roman" w:cs="Times New Roman"/>
                <w:b/>
                <w:bCs/>
                <w:sz w:val="20"/>
                <w:szCs w:val="20"/>
                <w:lang w:eastAsia="zh-CN"/>
              </w:rPr>
              <w:t>346</w:t>
            </w:r>
          </w:p>
        </w:tc>
      </w:tr>
    </w:tbl>
    <w:p w14:paraId="67B6CBE6" w14:textId="77777777" w:rsidR="000951E8" w:rsidRPr="00245910" w:rsidRDefault="000951E8" w:rsidP="000951E8">
      <w:pPr>
        <w:jc w:val="both"/>
        <w:rPr>
          <w:rFonts w:ascii="Times New Roman" w:hAnsi="Times New Roman" w:cs="Times New Roman"/>
          <w:sz w:val="20"/>
          <w:szCs w:val="20"/>
          <w:lang w:val="en-US"/>
        </w:rPr>
      </w:pPr>
    </w:p>
    <w:p w14:paraId="6AB92825" w14:textId="77777777" w:rsidR="000951E8" w:rsidRPr="00245910" w:rsidRDefault="000951E8" w:rsidP="000951E8">
      <w:pPr>
        <w:jc w:val="both"/>
        <w:rPr>
          <w:rFonts w:ascii="Times New Roman" w:hAnsi="Times New Roman" w:cs="Times New Roman"/>
          <w:sz w:val="20"/>
          <w:szCs w:val="20"/>
        </w:rPr>
      </w:pPr>
      <w:r w:rsidRPr="00245910">
        <w:rPr>
          <w:rFonts w:ascii="Times New Roman" w:hAnsi="Times New Roman" w:cs="Times New Roman"/>
          <w:sz w:val="20"/>
          <w:szCs w:val="20"/>
          <w:lang w:val="en-US"/>
        </w:rPr>
        <w:t xml:space="preserve">Źródło: Delegate Expenditure Survey 2006, UK National Tourist Boards. </w:t>
      </w:r>
      <w:r w:rsidRPr="00245910">
        <w:rPr>
          <w:rFonts w:ascii="Times New Roman" w:hAnsi="Times New Roman" w:cs="Times New Roman"/>
          <w:sz w:val="20"/>
          <w:szCs w:val="20"/>
        </w:rPr>
        <w:t>London 2007.</w:t>
      </w:r>
    </w:p>
    <w:p w14:paraId="5C45FB5E" w14:textId="77777777" w:rsidR="000951E8" w:rsidRPr="00245910" w:rsidRDefault="000951E8" w:rsidP="000951E8">
      <w:pPr>
        <w:spacing w:line="360" w:lineRule="auto"/>
        <w:ind w:firstLine="709"/>
        <w:jc w:val="both"/>
        <w:rPr>
          <w:rFonts w:ascii="Times New Roman" w:hAnsi="Times New Roman" w:cs="Times New Roman"/>
        </w:rPr>
      </w:pPr>
    </w:p>
    <w:p w14:paraId="03C91C85" w14:textId="77777777" w:rsidR="000951E8" w:rsidRPr="00245910" w:rsidRDefault="000951E8" w:rsidP="000951E8">
      <w:pPr>
        <w:spacing w:line="360" w:lineRule="auto"/>
        <w:ind w:firstLine="709"/>
        <w:jc w:val="both"/>
        <w:rPr>
          <w:rFonts w:ascii="Times New Roman" w:hAnsi="Times New Roman" w:cs="Times New Roman"/>
        </w:rPr>
      </w:pPr>
      <w:r w:rsidRPr="00245910">
        <w:rPr>
          <w:rFonts w:ascii="Times New Roman" w:hAnsi="Times New Roman" w:cs="Times New Roman"/>
        </w:rPr>
        <w:t>Wyniki brytyjskich badań (Delegate Expenditure Survey</w:t>
      </w:r>
      <w:r w:rsidRPr="00245910">
        <w:rPr>
          <w:rFonts w:ascii="Times New Roman" w:hAnsi="Times New Roman" w:cs="Times New Roman"/>
          <w:sz w:val="20"/>
          <w:szCs w:val="20"/>
        </w:rPr>
        <w:t xml:space="preserve">) </w:t>
      </w:r>
      <w:r w:rsidRPr="00245910">
        <w:rPr>
          <w:rFonts w:ascii="Times New Roman" w:hAnsi="Times New Roman" w:cs="Times New Roman"/>
        </w:rPr>
        <w:t xml:space="preserve">wskazują też, że udział wydatków delegatów w wydatkach całkowitych konferencji przeliczonych na jednego uczestnika jest różny w zależności od rodzaju spotkania (tab. 24). W krótkich jednodniowych konferencjach wydatki delegata stanowią 16% (pozostałe 84% ponosi organizator-zleceniodawca), natomiast w przypadku kilkudniowych spotkań międzynarodowych wydatki te sięgają 66% ogólnych. </w:t>
      </w:r>
    </w:p>
    <w:p w14:paraId="5557C5D9" w14:textId="207CAE5A" w:rsidR="000951E8" w:rsidRPr="00245910" w:rsidRDefault="000951E8" w:rsidP="000951E8">
      <w:pPr>
        <w:spacing w:line="360" w:lineRule="auto"/>
        <w:ind w:firstLine="708"/>
        <w:jc w:val="both"/>
        <w:rPr>
          <w:rFonts w:ascii="Times New Roman" w:hAnsi="Times New Roman" w:cs="Times New Roman"/>
        </w:rPr>
      </w:pPr>
      <w:r w:rsidRPr="00245910">
        <w:rPr>
          <w:rFonts w:ascii="Times New Roman" w:hAnsi="Times New Roman" w:cs="Times New Roman"/>
        </w:rPr>
        <w:t xml:space="preserve">Interesujących informacji dostarczają również badania ekonomicznych skutków spotkań konferencyjnych w innych krajach np.: </w:t>
      </w:r>
      <w:r w:rsidRPr="00245910">
        <w:rPr>
          <w:rFonts w:ascii="Times New Roman" w:hAnsi="Times New Roman" w:cs="Times New Roman"/>
          <w:bCs/>
        </w:rPr>
        <w:t xml:space="preserve">w USA i Kanadzie </w:t>
      </w:r>
      <w:r w:rsidRPr="00245910">
        <w:rPr>
          <w:rFonts w:ascii="Times New Roman" w:hAnsi="Times New Roman" w:cs="Times New Roman"/>
        </w:rPr>
        <w:t>(na podstawie: PCMA, CIC, IAVCB)</w:t>
      </w:r>
      <w:r w:rsidRPr="00245910">
        <w:rPr>
          <w:rFonts w:ascii="Times New Roman" w:hAnsi="Times New Roman" w:cs="Times New Roman"/>
          <w:b/>
          <w:bCs/>
        </w:rPr>
        <w:t>.</w:t>
      </w:r>
      <w:r w:rsidRPr="00245910">
        <w:rPr>
          <w:rFonts w:ascii="Times New Roman" w:hAnsi="Times New Roman" w:cs="Times New Roman"/>
        </w:rPr>
        <w:t xml:space="preserve"> Konferencje organizacji (stowarzyszeń) krajowych, jak i międzynarodowych trwają średnio 3,01 dnia. Całkowite wydatki uczestnika w miejscowości konferencyjnej to 748$ (około 248 $ na dzień). Dodatkowe 74,0 $ średnio na jednego uczestnika wydają w miejscowości organizatorzy. W badaniach realizowanych przez IACVB Foudation, Travel Industry Association of America, US Departament of Labour, Bureau of Labour Statistic dokonano dokładnej analizy struktury wydatków uczestników konferencji organizowany</w:t>
      </w:r>
      <w:r w:rsidR="00767161">
        <w:rPr>
          <w:rFonts w:ascii="Times New Roman" w:hAnsi="Times New Roman" w:cs="Times New Roman"/>
        </w:rPr>
        <w:t>ch przez stowarzyszenia (tab. 3</w:t>
      </w:r>
      <w:r w:rsidRPr="00245910">
        <w:rPr>
          <w:rFonts w:ascii="Times New Roman" w:hAnsi="Times New Roman" w:cs="Times New Roman"/>
        </w:rPr>
        <w:t>).</w:t>
      </w:r>
    </w:p>
    <w:p w14:paraId="234E0421" w14:textId="77777777" w:rsidR="000951E8" w:rsidRPr="00245910" w:rsidRDefault="000951E8" w:rsidP="000951E8">
      <w:pPr>
        <w:pStyle w:val="Napis"/>
        <w:jc w:val="right"/>
      </w:pPr>
      <w:bookmarkStart w:id="4" w:name="_Toc318071300"/>
      <w:bookmarkStart w:id="5" w:name="_Toc234991914"/>
      <w:r w:rsidRPr="00245910">
        <w:t xml:space="preserve">Tabela </w:t>
      </w:r>
      <w:r w:rsidRPr="00245910">
        <w:fldChar w:fldCharType="begin"/>
      </w:r>
      <w:r w:rsidRPr="00245910">
        <w:instrText xml:space="preserve"> SEQ Tabela \* ARABIC </w:instrText>
      </w:r>
      <w:r w:rsidRPr="00245910">
        <w:fldChar w:fldCharType="separate"/>
      </w:r>
      <w:r w:rsidR="00767161">
        <w:rPr>
          <w:noProof/>
        </w:rPr>
        <w:t>3</w:t>
      </w:r>
      <w:r w:rsidRPr="00245910">
        <w:fldChar w:fldCharType="end"/>
      </w:r>
      <w:bookmarkEnd w:id="4"/>
    </w:p>
    <w:p w14:paraId="030127DB" w14:textId="3D85E014" w:rsidR="000951E8" w:rsidRPr="00245910" w:rsidRDefault="000951E8" w:rsidP="000951E8">
      <w:pPr>
        <w:pStyle w:val="Napis"/>
      </w:pPr>
      <w:r w:rsidRPr="00245910">
        <w:t>Struktura wydatków uczestników spotkań konferencyjnych i wydatków w miejscowości docelowej</w:t>
      </w:r>
      <w:bookmarkEnd w:id="5"/>
      <w:r w:rsidR="003D3A6F">
        <w:t xml:space="preserve"> w USA i Kanadzie</w:t>
      </w:r>
    </w:p>
    <w:tbl>
      <w:tblPr>
        <w:tblW w:w="3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0"/>
        <w:gridCol w:w="960"/>
      </w:tblGrid>
      <w:tr w:rsidR="00F10C88" w:rsidRPr="00245910" w14:paraId="13ECF8FF" w14:textId="77777777" w:rsidTr="00F10C88">
        <w:trPr>
          <w:trHeight w:val="255"/>
          <w:jc w:val="center"/>
        </w:trPr>
        <w:tc>
          <w:tcPr>
            <w:tcW w:w="2800" w:type="dxa"/>
            <w:shd w:val="clear" w:color="auto" w:fill="auto"/>
            <w:noWrap/>
            <w:vAlign w:val="bottom"/>
          </w:tcPr>
          <w:p w14:paraId="5E62A312" w14:textId="77777777" w:rsidR="00F10C88" w:rsidRPr="00245910" w:rsidRDefault="00F10C88" w:rsidP="00CE678A">
            <w:pPr>
              <w:jc w:val="right"/>
              <w:rPr>
                <w:rFonts w:ascii="Times New Roman" w:eastAsia="SimSun" w:hAnsi="Times New Roman" w:cs="Times New Roman"/>
                <w:b/>
                <w:bCs/>
                <w:sz w:val="20"/>
                <w:szCs w:val="20"/>
                <w:lang w:eastAsia="zh-CN"/>
              </w:rPr>
            </w:pPr>
            <w:r w:rsidRPr="00245910">
              <w:rPr>
                <w:rFonts w:ascii="Times New Roman" w:eastAsia="SimSun" w:hAnsi="Times New Roman" w:cs="Times New Roman"/>
                <w:b/>
                <w:bCs/>
                <w:sz w:val="20"/>
                <w:szCs w:val="20"/>
                <w:lang w:eastAsia="zh-CN"/>
              </w:rPr>
              <w:t>specyfikacja wydatków</w:t>
            </w:r>
          </w:p>
        </w:tc>
        <w:tc>
          <w:tcPr>
            <w:tcW w:w="960" w:type="dxa"/>
            <w:shd w:val="clear" w:color="auto" w:fill="auto"/>
            <w:noWrap/>
            <w:vAlign w:val="bottom"/>
          </w:tcPr>
          <w:p w14:paraId="4B68F0DC" w14:textId="77777777" w:rsidR="00F10C88" w:rsidRPr="00245910" w:rsidRDefault="00F10C88" w:rsidP="00CE678A">
            <w:pPr>
              <w:jc w:val="center"/>
              <w:rPr>
                <w:rFonts w:ascii="Times New Roman" w:eastAsia="SimSun" w:hAnsi="Times New Roman" w:cs="Times New Roman"/>
                <w:b/>
                <w:bCs/>
                <w:sz w:val="20"/>
                <w:szCs w:val="20"/>
                <w:lang w:eastAsia="zh-CN"/>
              </w:rPr>
            </w:pPr>
            <w:r w:rsidRPr="00245910">
              <w:rPr>
                <w:rFonts w:ascii="Times New Roman" w:eastAsia="SimSun" w:hAnsi="Times New Roman" w:cs="Times New Roman"/>
                <w:b/>
                <w:bCs/>
                <w:sz w:val="20"/>
                <w:szCs w:val="20"/>
                <w:lang w:eastAsia="zh-CN"/>
              </w:rPr>
              <w:t>%</w:t>
            </w:r>
          </w:p>
        </w:tc>
      </w:tr>
      <w:tr w:rsidR="00F10C88" w:rsidRPr="00245910" w14:paraId="1AE5C5BA" w14:textId="77777777" w:rsidTr="00F10C88">
        <w:trPr>
          <w:trHeight w:val="255"/>
          <w:jc w:val="center"/>
        </w:trPr>
        <w:tc>
          <w:tcPr>
            <w:tcW w:w="2800" w:type="dxa"/>
            <w:shd w:val="clear" w:color="auto" w:fill="auto"/>
            <w:noWrap/>
            <w:vAlign w:val="bottom"/>
          </w:tcPr>
          <w:p w14:paraId="051916A6" w14:textId="77777777" w:rsidR="00F10C88" w:rsidRPr="00245910" w:rsidRDefault="00F10C88" w:rsidP="00CE678A">
            <w:pPr>
              <w:jc w:val="right"/>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zakwaterowanie</w:t>
            </w:r>
          </w:p>
        </w:tc>
        <w:tc>
          <w:tcPr>
            <w:tcW w:w="960" w:type="dxa"/>
            <w:shd w:val="clear" w:color="auto" w:fill="auto"/>
            <w:noWrap/>
            <w:vAlign w:val="bottom"/>
          </w:tcPr>
          <w:p w14:paraId="7906F4AF" w14:textId="42A682F2" w:rsidR="00F10C88" w:rsidRPr="00245910" w:rsidRDefault="00F10C88" w:rsidP="00CE678A">
            <w:pPr>
              <w:jc w:val="righ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49,60</w:t>
            </w:r>
          </w:p>
        </w:tc>
      </w:tr>
      <w:tr w:rsidR="00F10C88" w:rsidRPr="00245910" w14:paraId="0D89C1DE" w14:textId="77777777" w:rsidTr="00F10C88">
        <w:trPr>
          <w:trHeight w:val="255"/>
          <w:jc w:val="center"/>
        </w:trPr>
        <w:tc>
          <w:tcPr>
            <w:tcW w:w="2800" w:type="dxa"/>
            <w:shd w:val="clear" w:color="auto" w:fill="auto"/>
            <w:noWrap/>
            <w:vAlign w:val="bottom"/>
          </w:tcPr>
          <w:p w14:paraId="7BDF36A0" w14:textId="77777777" w:rsidR="00F10C88" w:rsidRPr="00245910" w:rsidRDefault="00F10C88" w:rsidP="00CE678A">
            <w:pPr>
              <w:jc w:val="right"/>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napoje i posiłki w hotelu</w:t>
            </w:r>
          </w:p>
        </w:tc>
        <w:tc>
          <w:tcPr>
            <w:tcW w:w="960" w:type="dxa"/>
            <w:shd w:val="clear" w:color="auto" w:fill="auto"/>
            <w:noWrap/>
            <w:vAlign w:val="bottom"/>
          </w:tcPr>
          <w:p w14:paraId="4ACF4B54" w14:textId="08B49C65" w:rsidR="00F10C88" w:rsidRPr="00245910" w:rsidRDefault="00F10C88" w:rsidP="00CE678A">
            <w:pPr>
              <w:jc w:val="righ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13,50</w:t>
            </w:r>
          </w:p>
        </w:tc>
      </w:tr>
      <w:tr w:rsidR="00F10C88" w:rsidRPr="00245910" w14:paraId="1959E123" w14:textId="77777777" w:rsidTr="00F10C88">
        <w:trPr>
          <w:trHeight w:val="255"/>
          <w:jc w:val="center"/>
        </w:trPr>
        <w:tc>
          <w:tcPr>
            <w:tcW w:w="2800" w:type="dxa"/>
            <w:shd w:val="clear" w:color="auto" w:fill="auto"/>
            <w:noWrap/>
            <w:vAlign w:val="bottom"/>
          </w:tcPr>
          <w:p w14:paraId="78DF07C9" w14:textId="77777777" w:rsidR="00F10C88" w:rsidRPr="00245910" w:rsidRDefault="00F10C88" w:rsidP="00CE678A">
            <w:pPr>
              <w:jc w:val="right"/>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napoje i posiłki poza hotelem</w:t>
            </w:r>
          </w:p>
        </w:tc>
        <w:tc>
          <w:tcPr>
            <w:tcW w:w="960" w:type="dxa"/>
            <w:shd w:val="clear" w:color="auto" w:fill="auto"/>
            <w:noWrap/>
            <w:vAlign w:val="bottom"/>
          </w:tcPr>
          <w:p w14:paraId="257F2276" w14:textId="24DAB538" w:rsidR="00F10C88" w:rsidRPr="00245910" w:rsidRDefault="00F10C88" w:rsidP="00CE678A">
            <w:pPr>
              <w:jc w:val="righ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12,43</w:t>
            </w:r>
          </w:p>
        </w:tc>
      </w:tr>
      <w:tr w:rsidR="00F10C88" w:rsidRPr="00245910" w14:paraId="1ADB8CB9" w14:textId="77777777" w:rsidTr="00F10C88">
        <w:trPr>
          <w:trHeight w:val="255"/>
          <w:jc w:val="center"/>
        </w:trPr>
        <w:tc>
          <w:tcPr>
            <w:tcW w:w="2800" w:type="dxa"/>
            <w:shd w:val="clear" w:color="auto" w:fill="auto"/>
            <w:noWrap/>
            <w:vAlign w:val="bottom"/>
          </w:tcPr>
          <w:p w14:paraId="281EAE25" w14:textId="77777777" w:rsidR="00F10C88" w:rsidRPr="00245910" w:rsidRDefault="00F10C88" w:rsidP="00CE678A">
            <w:pPr>
              <w:jc w:val="right"/>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zwiedzanie turystyczne</w:t>
            </w:r>
          </w:p>
        </w:tc>
        <w:tc>
          <w:tcPr>
            <w:tcW w:w="960" w:type="dxa"/>
            <w:shd w:val="clear" w:color="auto" w:fill="auto"/>
            <w:noWrap/>
            <w:vAlign w:val="bottom"/>
          </w:tcPr>
          <w:p w14:paraId="1FF87CE1" w14:textId="0A8C68EF" w:rsidR="00F10C88" w:rsidRPr="00245910" w:rsidRDefault="00F10C88" w:rsidP="00CE678A">
            <w:pPr>
              <w:jc w:val="righ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2,01</w:t>
            </w:r>
          </w:p>
        </w:tc>
      </w:tr>
      <w:tr w:rsidR="00F10C88" w:rsidRPr="00245910" w14:paraId="73293680" w14:textId="77777777" w:rsidTr="00F10C88">
        <w:trPr>
          <w:trHeight w:val="255"/>
          <w:jc w:val="center"/>
        </w:trPr>
        <w:tc>
          <w:tcPr>
            <w:tcW w:w="2800" w:type="dxa"/>
            <w:shd w:val="clear" w:color="auto" w:fill="auto"/>
            <w:noWrap/>
            <w:vAlign w:val="bottom"/>
          </w:tcPr>
          <w:p w14:paraId="73B24588" w14:textId="77777777" w:rsidR="00F10C88" w:rsidRPr="00245910" w:rsidRDefault="00F10C88" w:rsidP="00CE678A">
            <w:pPr>
              <w:jc w:val="right"/>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wstępy do muzeum, teatru itd.</w:t>
            </w:r>
          </w:p>
        </w:tc>
        <w:tc>
          <w:tcPr>
            <w:tcW w:w="960" w:type="dxa"/>
            <w:shd w:val="clear" w:color="auto" w:fill="auto"/>
            <w:noWrap/>
            <w:vAlign w:val="bottom"/>
          </w:tcPr>
          <w:p w14:paraId="5A7C71DE" w14:textId="362290FE" w:rsidR="00F10C88" w:rsidRPr="00245910" w:rsidRDefault="00F10C88" w:rsidP="00CE678A">
            <w:pPr>
              <w:jc w:val="righ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1,07</w:t>
            </w:r>
          </w:p>
        </w:tc>
      </w:tr>
      <w:tr w:rsidR="00F10C88" w:rsidRPr="00245910" w14:paraId="58322FE1" w14:textId="77777777" w:rsidTr="00F10C88">
        <w:trPr>
          <w:trHeight w:val="255"/>
          <w:jc w:val="center"/>
        </w:trPr>
        <w:tc>
          <w:tcPr>
            <w:tcW w:w="2800" w:type="dxa"/>
            <w:shd w:val="clear" w:color="auto" w:fill="auto"/>
            <w:noWrap/>
            <w:vAlign w:val="bottom"/>
          </w:tcPr>
          <w:p w14:paraId="0F1CB913" w14:textId="77777777" w:rsidR="00F10C88" w:rsidRPr="00245910" w:rsidRDefault="00F10C88" w:rsidP="00CE678A">
            <w:pPr>
              <w:jc w:val="right"/>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rekreacyjne usługi</w:t>
            </w:r>
          </w:p>
        </w:tc>
        <w:tc>
          <w:tcPr>
            <w:tcW w:w="960" w:type="dxa"/>
            <w:shd w:val="clear" w:color="auto" w:fill="auto"/>
            <w:noWrap/>
            <w:vAlign w:val="bottom"/>
          </w:tcPr>
          <w:p w14:paraId="58D0AAB8" w14:textId="00FE795E" w:rsidR="00F10C88" w:rsidRPr="00245910" w:rsidRDefault="00F10C88" w:rsidP="00CE678A">
            <w:pPr>
              <w:jc w:val="righ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1,07</w:t>
            </w:r>
          </w:p>
        </w:tc>
      </w:tr>
      <w:tr w:rsidR="00F10C88" w:rsidRPr="00245910" w14:paraId="51824A79" w14:textId="77777777" w:rsidTr="00F10C88">
        <w:trPr>
          <w:trHeight w:val="255"/>
          <w:jc w:val="center"/>
        </w:trPr>
        <w:tc>
          <w:tcPr>
            <w:tcW w:w="2800" w:type="dxa"/>
            <w:shd w:val="clear" w:color="auto" w:fill="auto"/>
            <w:noWrap/>
            <w:vAlign w:val="bottom"/>
          </w:tcPr>
          <w:p w14:paraId="1863BF2E" w14:textId="77777777" w:rsidR="00F10C88" w:rsidRPr="00245910" w:rsidRDefault="00F10C88" w:rsidP="00CE678A">
            <w:pPr>
              <w:jc w:val="right"/>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wydarzenia sportowe</w:t>
            </w:r>
          </w:p>
        </w:tc>
        <w:tc>
          <w:tcPr>
            <w:tcW w:w="960" w:type="dxa"/>
            <w:shd w:val="clear" w:color="auto" w:fill="auto"/>
            <w:noWrap/>
            <w:vAlign w:val="bottom"/>
          </w:tcPr>
          <w:p w14:paraId="26A2E044" w14:textId="59AFEAA1" w:rsidR="00F10C88" w:rsidRPr="00245910" w:rsidRDefault="00F10C88" w:rsidP="00CE678A">
            <w:pPr>
              <w:jc w:val="righ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0,40</w:t>
            </w:r>
          </w:p>
        </w:tc>
      </w:tr>
      <w:tr w:rsidR="00F10C88" w:rsidRPr="00245910" w14:paraId="2EA32540" w14:textId="77777777" w:rsidTr="00F10C88">
        <w:trPr>
          <w:trHeight w:val="255"/>
          <w:jc w:val="center"/>
        </w:trPr>
        <w:tc>
          <w:tcPr>
            <w:tcW w:w="2800" w:type="dxa"/>
            <w:shd w:val="clear" w:color="auto" w:fill="auto"/>
            <w:noWrap/>
            <w:vAlign w:val="bottom"/>
          </w:tcPr>
          <w:p w14:paraId="0E6FDF86" w14:textId="77777777" w:rsidR="00F10C88" w:rsidRPr="00245910" w:rsidRDefault="00F10C88" w:rsidP="00CE678A">
            <w:pPr>
              <w:jc w:val="right"/>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sklepy detaliczne</w:t>
            </w:r>
          </w:p>
        </w:tc>
        <w:tc>
          <w:tcPr>
            <w:tcW w:w="960" w:type="dxa"/>
            <w:shd w:val="clear" w:color="auto" w:fill="auto"/>
            <w:noWrap/>
            <w:vAlign w:val="bottom"/>
          </w:tcPr>
          <w:p w14:paraId="21F0D188" w14:textId="55039A02" w:rsidR="00F10C88" w:rsidRPr="00245910" w:rsidRDefault="00F10C88" w:rsidP="00CE678A">
            <w:pPr>
              <w:jc w:val="righ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9,89</w:t>
            </w:r>
          </w:p>
        </w:tc>
      </w:tr>
      <w:tr w:rsidR="00F10C88" w:rsidRPr="00245910" w14:paraId="5EF7DC5F" w14:textId="77777777" w:rsidTr="00F10C88">
        <w:trPr>
          <w:trHeight w:val="255"/>
          <w:jc w:val="center"/>
        </w:trPr>
        <w:tc>
          <w:tcPr>
            <w:tcW w:w="2800" w:type="dxa"/>
            <w:shd w:val="clear" w:color="auto" w:fill="auto"/>
            <w:noWrap/>
            <w:vAlign w:val="bottom"/>
          </w:tcPr>
          <w:p w14:paraId="43D8CFBB" w14:textId="77777777" w:rsidR="00F10C88" w:rsidRPr="00245910" w:rsidRDefault="00F10C88" w:rsidP="00CE678A">
            <w:pPr>
              <w:jc w:val="right"/>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transport lokalny</w:t>
            </w:r>
          </w:p>
        </w:tc>
        <w:tc>
          <w:tcPr>
            <w:tcW w:w="960" w:type="dxa"/>
            <w:shd w:val="clear" w:color="auto" w:fill="auto"/>
            <w:noWrap/>
            <w:vAlign w:val="bottom"/>
          </w:tcPr>
          <w:p w14:paraId="52CEB4B8" w14:textId="300DB01E" w:rsidR="00F10C88" w:rsidRPr="00245910" w:rsidRDefault="00F10C88" w:rsidP="00CE678A">
            <w:pPr>
              <w:jc w:val="righ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1,87</w:t>
            </w:r>
          </w:p>
        </w:tc>
      </w:tr>
      <w:tr w:rsidR="00F10C88" w:rsidRPr="00245910" w14:paraId="3CFF5422" w14:textId="77777777" w:rsidTr="00F10C88">
        <w:trPr>
          <w:trHeight w:val="255"/>
          <w:jc w:val="center"/>
        </w:trPr>
        <w:tc>
          <w:tcPr>
            <w:tcW w:w="2800" w:type="dxa"/>
            <w:shd w:val="clear" w:color="auto" w:fill="auto"/>
            <w:noWrap/>
            <w:vAlign w:val="bottom"/>
          </w:tcPr>
          <w:p w14:paraId="65CE0712" w14:textId="77777777" w:rsidR="00F10C88" w:rsidRPr="00245910" w:rsidRDefault="00F10C88" w:rsidP="00CE678A">
            <w:pPr>
              <w:jc w:val="right"/>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wypożyczenie auta</w:t>
            </w:r>
          </w:p>
        </w:tc>
        <w:tc>
          <w:tcPr>
            <w:tcW w:w="960" w:type="dxa"/>
            <w:shd w:val="clear" w:color="auto" w:fill="auto"/>
            <w:noWrap/>
            <w:vAlign w:val="bottom"/>
          </w:tcPr>
          <w:p w14:paraId="02CAE6A7" w14:textId="27D97BFB" w:rsidR="00F10C88" w:rsidRPr="00245910" w:rsidRDefault="00F10C88" w:rsidP="00CE678A">
            <w:pPr>
              <w:jc w:val="righ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2,94</w:t>
            </w:r>
          </w:p>
        </w:tc>
      </w:tr>
      <w:tr w:rsidR="00F10C88" w:rsidRPr="00245910" w14:paraId="14DCAF61" w14:textId="77777777" w:rsidTr="00F10C88">
        <w:trPr>
          <w:trHeight w:val="255"/>
          <w:jc w:val="center"/>
        </w:trPr>
        <w:tc>
          <w:tcPr>
            <w:tcW w:w="2800" w:type="dxa"/>
            <w:shd w:val="clear" w:color="auto" w:fill="auto"/>
            <w:noWrap/>
            <w:vAlign w:val="bottom"/>
          </w:tcPr>
          <w:p w14:paraId="2A4B706D" w14:textId="77777777" w:rsidR="00F10C88" w:rsidRPr="00245910" w:rsidRDefault="00F10C88" w:rsidP="00CE678A">
            <w:pPr>
              <w:jc w:val="right"/>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paliwo, parkingi</w:t>
            </w:r>
          </w:p>
        </w:tc>
        <w:tc>
          <w:tcPr>
            <w:tcW w:w="960" w:type="dxa"/>
            <w:shd w:val="clear" w:color="auto" w:fill="auto"/>
            <w:noWrap/>
            <w:vAlign w:val="bottom"/>
          </w:tcPr>
          <w:p w14:paraId="3D2A2510" w14:textId="188966C2" w:rsidR="00F10C88" w:rsidRPr="00245910" w:rsidRDefault="00F10C88" w:rsidP="00CE678A">
            <w:pPr>
              <w:jc w:val="righ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1,87</w:t>
            </w:r>
          </w:p>
        </w:tc>
      </w:tr>
      <w:tr w:rsidR="00F10C88" w:rsidRPr="00245910" w14:paraId="13456AC5" w14:textId="77777777" w:rsidTr="00F10C88">
        <w:trPr>
          <w:trHeight w:val="255"/>
          <w:jc w:val="center"/>
        </w:trPr>
        <w:tc>
          <w:tcPr>
            <w:tcW w:w="2800" w:type="dxa"/>
            <w:shd w:val="clear" w:color="auto" w:fill="auto"/>
            <w:noWrap/>
            <w:vAlign w:val="bottom"/>
          </w:tcPr>
          <w:p w14:paraId="7140EA89" w14:textId="77777777" w:rsidR="00F10C88" w:rsidRPr="00245910" w:rsidRDefault="00F10C88" w:rsidP="00CE678A">
            <w:pPr>
              <w:jc w:val="right"/>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inne</w:t>
            </w:r>
          </w:p>
        </w:tc>
        <w:tc>
          <w:tcPr>
            <w:tcW w:w="960" w:type="dxa"/>
            <w:shd w:val="clear" w:color="auto" w:fill="auto"/>
            <w:noWrap/>
            <w:vAlign w:val="bottom"/>
          </w:tcPr>
          <w:p w14:paraId="5E12D36A" w14:textId="7F0C784B" w:rsidR="00F10C88" w:rsidRPr="00245910" w:rsidRDefault="00F10C88" w:rsidP="00CE678A">
            <w:pPr>
              <w:jc w:val="righ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3,34</w:t>
            </w:r>
          </w:p>
        </w:tc>
      </w:tr>
      <w:tr w:rsidR="00F10C88" w:rsidRPr="00245910" w14:paraId="46C682E3" w14:textId="77777777" w:rsidTr="00F10C88">
        <w:trPr>
          <w:trHeight w:val="255"/>
          <w:jc w:val="center"/>
        </w:trPr>
        <w:tc>
          <w:tcPr>
            <w:tcW w:w="2800" w:type="dxa"/>
            <w:shd w:val="clear" w:color="auto" w:fill="auto"/>
            <w:noWrap/>
            <w:vAlign w:val="bottom"/>
          </w:tcPr>
          <w:p w14:paraId="691DB233" w14:textId="77777777" w:rsidR="00F10C88" w:rsidRPr="00245910" w:rsidRDefault="00F10C88" w:rsidP="00CE678A">
            <w:pPr>
              <w:jc w:val="right"/>
              <w:rPr>
                <w:rFonts w:ascii="Times New Roman" w:eastAsia="SimSun" w:hAnsi="Times New Roman" w:cs="Times New Roman"/>
                <w:b/>
                <w:bCs/>
                <w:sz w:val="20"/>
                <w:szCs w:val="20"/>
                <w:lang w:eastAsia="zh-CN"/>
              </w:rPr>
            </w:pPr>
            <w:r w:rsidRPr="00245910">
              <w:rPr>
                <w:rFonts w:ascii="Times New Roman" w:eastAsia="SimSun" w:hAnsi="Times New Roman" w:cs="Times New Roman"/>
                <w:b/>
                <w:bCs/>
                <w:sz w:val="20"/>
                <w:szCs w:val="20"/>
                <w:lang w:eastAsia="zh-CN"/>
              </w:rPr>
              <w:t>razem</w:t>
            </w:r>
          </w:p>
        </w:tc>
        <w:tc>
          <w:tcPr>
            <w:tcW w:w="960" w:type="dxa"/>
            <w:shd w:val="clear" w:color="auto" w:fill="auto"/>
            <w:noWrap/>
            <w:vAlign w:val="bottom"/>
          </w:tcPr>
          <w:p w14:paraId="4103B86A" w14:textId="77777777" w:rsidR="00F10C88" w:rsidRPr="00245910" w:rsidRDefault="00F10C88" w:rsidP="00CE678A">
            <w:pPr>
              <w:jc w:val="right"/>
              <w:rPr>
                <w:rFonts w:ascii="Times New Roman" w:eastAsia="SimSun" w:hAnsi="Times New Roman" w:cs="Times New Roman"/>
                <w:b/>
                <w:bCs/>
                <w:sz w:val="20"/>
                <w:szCs w:val="20"/>
                <w:lang w:eastAsia="zh-CN"/>
              </w:rPr>
            </w:pPr>
            <w:r w:rsidRPr="00245910">
              <w:rPr>
                <w:rFonts w:ascii="Times New Roman" w:eastAsia="SimSun" w:hAnsi="Times New Roman" w:cs="Times New Roman"/>
                <w:b/>
                <w:bCs/>
                <w:sz w:val="20"/>
                <w:szCs w:val="20"/>
                <w:lang w:eastAsia="zh-CN"/>
              </w:rPr>
              <w:t>100,00%</w:t>
            </w:r>
          </w:p>
        </w:tc>
      </w:tr>
    </w:tbl>
    <w:p w14:paraId="48982A23" w14:textId="77777777" w:rsidR="000951E8" w:rsidRPr="00245910" w:rsidRDefault="000951E8" w:rsidP="000951E8">
      <w:pPr>
        <w:jc w:val="both"/>
        <w:rPr>
          <w:rFonts w:ascii="Times New Roman" w:hAnsi="Times New Roman" w:cs="Times New Roman"/>
          <w:sz w:val="20"/>
          <w:szCs w:val="20"/>
        </w:rPr>
      </w:pPr>
    </w:p>
    <w:p w14:paraId="10955B3B" w14:textId="76A21B6C" w:rsidR="000951E8" w:rsidRPr="00245910" w:rsidRDefault="000951E8" w:rsidP="000951E8">
      <w:pPr>
        <w:jc w:val="both"/>
        <w:rPr>
          <w:rFonts w:ascii="Times New Roman" w:hAnsi="Times New Roman" w:cs="Times New Roman"/>
          <w:sz w:val="20"/>
          <w:szCs w:val="20"/>
          <w:lang w:val="en-US"/>
        </w:rPr>
      </w:pPr>
      <w:r w:rsidRPr="00245910">
        <w:rPr>
          <w:rFonts w:ascii="Times New Roman" w:hAnsi="Times New Roman" w:cs="Times New Roman"/>
          <w:sz w:val="20"/>
          <w:szCs w:val="20"/>
          <w:lang w:val="en-US"/>
        </w:rPr>
        <w:t>Źródło: na podstawie danych IACVB (International Association of Convention and Visitors Bureaus)</w:t>
      </w:r>
      <w:r w:rsidR="00F10C88">
        <w:rPr>
          <w:rFonts w:ascii="Times New Roman" w:hAnsi="Times New Roman" w:cs="Times New Roman"/>
          <w:sz w:val="20"/>
          <w:szCs w:val="20"/>
          <w:lang w:val="en-US"/>
        </w:rPr>
        <w:t>, 2006 r.</w:t>
      </w:r>
      <w:r w:rsidRPr="00245910">
        <w:rPr>
          <w:rFonts w:ascii="Times New Roman" w:hAnsi="Times New Roman" w:cs="Times New Roman"/>
          <w:sz w:val="20"/>
          <w:szCs w:val="20"/>
          <w:lang w:val="en-US"/>
        </w:rPr>
        <w:t>.</w:t>
      </w:r>
    </w:p>
    <w:p w14:paraId="4CD9AA18" w14:textId="77777777" w:rsidR="000951E8" w:rsidRPr="00245910" w:rsidRDefault="000951E8" w:rsidP="000951E8">
      <w:pPr>
        <w:spacing w:line="360" w:lineRule="auto"/>
        <w:ind w:firstLine="708"/>
        <w:jc w:val="both"/>
        <w:rPr>
          <w:rFonts w:ascii="Times New Roman" w:hAnsi="Times New Roman" w:cs="Times New Roman"/>
          <w:lang w:val="en-US"/>
        </w:rPr>
      </w:pPr>
    </w:p>
    <w:p w14:paraId="70928C5B" w14:textId="6C00F185" w:rsidR="00200229" w:rsidRPr="00245910" w:rsidRDefault="000951E8" w:rsidP="00200229">
      <w:pPr>
        <w:spacing w:line="360" w:lineRule="auto"/>
        <w:jc w:val="both"/>
        <w:rPr>
          <w:rFonts w:ascii="Times New Roman" w:hAnsi="Times New Roman" w:cs="Times New Roman"/>
        </w:rPr>
      </w:pPr>
      <w:r w:rsidRPr="00245910">
        <w:rPr>
          <w:rFonts w:ascii="Times New Roman" w:hAnsi="Times New Roman" w:cs="Times New Roman"/>
        </w:rPr>
        <w:t>Największą część kosztów stanowi zakwaterowanie prawie 50%, następnie wyżywienie w hotelu i poza nim 25%. Należy zauważyć, że łączne wydatki uczestnika konferencji poza hotelem wynoszą 37%.</w:t>
      </w:r>
      <w:r w:rsidR="00200229" w:rsidRPr="00200229">
        <w:rPr>
          <w:rFonts w:ascii="Times New Roman" w:hAnsi="Times New Roman" w:cs="Times New Roman"/>
        </w:rPr>
        <w:t xml:space="preserve"> </w:t>
      </w:r>
    </w:p>
    <w:p w14:paraId="411F620A" w14:textId="77777777" w:rsidR="00200229" w:rsidRPr="00245910" w:rsidRDefault="00200229" w:rsidP="00200229">
      <w:pPr>
        <w:spacing w:line="360" w:lineRule="auto"/>
        <w:ind w:firstLine="708"/>
        <w:jc w:val="both"/>
        <w:rPr>
          <w:rFonts w:ascii="Times New Roman" w:hAnsi="Times New Roman" w:cs="Times New Roman"/>
        </w:rPr>
      </w:pPr>
      <w:r w:rsidRPr="00245910">
        <w:rPr>
          <w:rFonts w:ascii="Times New Roman" w:hAnsi="Times New Roman" w:cs="Times New Roman"/>
        </w:rPr>
        <w:t>Wyniki badań IACVB pokrywają się z analizami wydatków uczestników spotkań konferencyjnych ogólnie (korporacyjnych, stowarzyszeń; krajowych, międzynarodowych) prowadzonymi przez Vancouver Conv</w:t>
      </w:r>
      <w:r>
        <w:rPr>
          <w:rFonts w:ascii="Times New Roman" w:hAnsi="Times New Roman" w:cs="Times New Roman"/>
        </w:rPr>
        <w:t>ention Bureau (tab. 4</w:t>
      </w:r>
      <w:r w:rsidRPr="00245910">
        <w:rPr>
          <w:rFonts w:ascii="Times New Roman" w:hAnsi="Times New Roman" w:cs="Times New Roman"/>
        </w:rPr>
        <w:t xml:space="preserve">). Struktura wydatków </w:t>
      </w:r>
      <w:r>
        <w:rPr>
          <w:rFonts w:ascii="Times New Roman" w:hAnsi="Times New Roman" w:cs="Times New Roman"/>
        </w:rPr>
        <w:t xml:space="preserve">pokazuje, że </w:t>
      </w:r>
      <w:r w:rsidRPr="00245910">
        <w:rPr>
          <w:rFonts w:ascii="Times New Roman" w:hAnsi="Times New Roman" w:cs="Times New Roman"/>
        </w:rPr>
        <w:t xml:space="preserve">wśród nich </w:t>
      </w:r>
      <w:r>
        <w:rPr>
          <w:rFonts w:ascii="Times New Roman" w:hAnsi="Times New Roman" w:cs="Times New Roman"/>
        </w:rPr>
        <w:t xml:space="preserve">dominują </w:t>
      </w:r>
      <w:r w:rsidRPr="00245910">
        <w:rPr>
          <w:rFonts w:ascii="Times New Roman" w:hAnsi="Times New Roman" w:cs="Times New Roman"/>
        </w:rPr>
        <w:t xml:space="preserve">te związane z zakwaterowaniem i wyżywieniem. </w:t>
      </w:r>
    </w:p>
    <w:p w14:paraId="555F3562" w14:textId="77777777" w:rsidR="000951E8" w:rsidRDefault="000951E8" w:rsidP="000951E8">
      <w:pPr>
        <w:spacing w:line="360" w:lineRule="auto"/>
        <w:ind w:firstLine="708"/>
        <w:jc w:val="both"/>
        <w:rPr>
          <w:rFonts w:ascii="Times New Roman" w:hAnsi="Times New Roman" w:cs="Times New Roman"/>
        </w:rPr>
      </w:pPr>
    </w:p>
    <w:p w14:paraId="39DF4CF5" w14:textId="77777777" w:rsidR="003D3A6F" w:rsidRDefault="003D3A6F" w:rsidP="000951E8">
      <w:pPr>
        <w:spacing w:line="360" w:lineRule="auto"/>
        <w:ind w:firstLine="708"/>
        <w:jc w:val="both"/>
        <w:rPr>
          <w:rFonts w:ascii="Times New Roman" w:hAnsi="Times New Roman" w:cs="Times New Roman"/>
        </w:rPr>
      </w:pPr>
    </w:p>
    <w:p w14:paraId="538D93B7" w14:textId="77777777" w:rsidR="003D3A6F" w:rsidRPr="00245910" w:rsidRDefault="003D3A6F" w:rsidP="003D3A6F">
      <w:pPr>
        <w:pStyle w:val="Napis"/>
        <w:jc w:val="right"/>
      </w:pPr>
      <w:r w:rsidRPr="00245910">
        <w:t xml:space="preserve">Tabela </w:t>
      </w:r>
      <w:r w:rsidRPr="00245910">
        <w:fldChar w:fldCharType="begin"/>
      </w:r>
      <w:r w:rsidRPr="00245910">
        <w:instrText xml:space="preserve"> SEQ Tabela \* ARABIC </w:instrText>
      </w:r>
      <w:r w:rsidRPr="00245910">
        <w:fldChar w:fldCharType="separate"/>
      </w:r>
      <w:r>
        <w:rPr>
          <w:noProof/>
        </w:rPr>
        <w:t>4</w:t>
      </w:r>
      <w:r w:rsidRPr="00245910">
        <w:fldChar w:fldCharType="end"/>
      </w:r>
    </w:p>
    <w:p w14:paraId="7968A7EC" w14:textId="423E1B6B" w:rsidR="003D3A6F" w:rsidRPr="00245910" w:rsidRDefault="003D3A6F" w:rsidP="003D3A6F">
      <w:pPr>
        <w:pStyle w:val="Napis"/>
      </w:pPr>
      <w:r w:rsidRPr="00245910">
        <w:t>Struktura wydatków uczestników spotkań konferencyjnych w Vancouver.</w:t>
      </w:r>
    </w:p>
    <w:tbl>
      <w:tblPr>
        <w:tblW w:w="3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0"/>
        <w:gridCol w:w="960"/>
      </w:tblGrid>
      <w:tr w:rsidR="003D3A6F" w:rsidRPr="00245910" w14:paraId="5F160DDB" w14:textId="77777777" w:rsidTr="003D3A6F">
        <w:trPr>
          <w:trHeight w:val="255"/>
          <w:jc w:val="center"/>
        </w:trPr>
        <w:tc>
          <w:tcPr>
            <w:tcW w:w="2800" w:type="dxa"/>
            <w:shd w:val="clear" w:color="auto" w:fill="auto"/>
            <w:noWrap/>
            <w:vAlign w:val="bottom"/>
          </w:tcPr>
          <w:p w14:paraId="3EFEFDC6" w14:textId="77777777" w:rsidR="003D3A6F" w:rsidRPr="00245910" w:rsidRDefault="003D3A6F" w:rsidP="003D3A6F">
            <w:pPr>
              <w:jc w:val="right"/>
              <w:rPr>
                <w:rFonts w:ascii="Times New Roman" w:eastAsia="SimSun" w:hAnsi="Times New Roman" w:cs="Times New Roman"/>
                <w:b/>
                <w:bCs/>
                <w:sz w:val="20"/>
                <w:szCs w:val="20"/>
                <w:lang w:eastAsia="zh-CN"/>
              </w:rPr>
            </w:pPr>
            <w:r w:rsidRPr="00245910">
              <w:rPr>
                <w:rFonts w:ascii="Times New Roman" w:eastAsia="SimSun" w:hAnsi="Times New Roman" w:cs="Times New Roman"/>
                <w:b/>
                <w:bCs/>
                <w:sz w:val="20"/>
                <w:szCs w:val="20"/>
                <w:lang w:eastAsia="zh-CN"/>
              </w:rPr>
              <w:t>specyfikacja wydatków</w:t>
            </w:r>
          </w:p>
        </w:tc>
        <w:tc>
          <w:tcPr>
            <w:tcW w:w="960" w:type="dxa"/>
            <w:shd w:val="clear" w:color="auto" w:fill="auto"/>
            <w:noWrap/>
            <w:vAlign w:val="bottom"/>
          </w:tcPr>
          <w:p w14:paraId="41C5DF58" w14:textId="77777777" w:rsidR="003D3A6F" w:rsidRPr="00245910" w:rsidRDefault="003D3A6F" w:rsidP="003D3A6F">
            <w:pPr>
              <w:jc w:val="center"/>
              <w:rPr>
                <w:rFonts w:ascii="Times New Roman" w:eastAsia="SimSun" w:hAnsi="Times New Roman" w:cs="Times New Roman"/>
                <w:b/>
                <w:bCs/>
                <w:sz w:val="20"/>
                <w:szCs w:val="20"/>
                <w:lang w:eastAsia="zh-CN"/>
              </w:rPr>
            </w:pPr>
            <w:r w:rsidRPr="00245910">
              <w:rPr>
                <w:rFonts w:ascii="Times New Roman" w:eastAsia="SimSun" w:hAnsi="Times New Roman" w:cs="Times New Roman"/>
                <w:b/>
                <w:bCs/>
                <w:sz w:val="20"/>
                <w:szCs w:val="20"/>
                <w:lang w:eastAsia="zh-CN"/>
              </w:rPr>
              <w:t>%</w:t>
            </w:r>
          </w:p>
        </w:tc>
      </w:tr>
      <w:tr w:rsidR="003D3A6F" w:rsidRPr="00245910" w14:paraId="66AAB3BA" w14:textId="77777777" w:rsidTr="003D3A6F">
        <w:trPr>
          <w:trHeight w:val="255"/>
          <w:jc w:val="center"/>
        </w:trPr>
        <w:tc>
          <w:tcPr>
            <w:tcW w:w="2800" w:type="dxa"/>
            <w:shd w:val="clear" w:color="auto" w:fill="auto"/>
            <w:noWrap/>
            <w:vAlign w:val="bottom"/>
          </w:tcPr>
          <w:p w14:paraId="6C1E710F" w14:textId="77777777" w:rsidR="003D3A6F" w:rsidRPr="00245910" w:rsidRDefault="003D3A6F" w:rsidP="003D3A6F">
            <w:pPr>
              <w:jc w:val="right"/>
              <w:rPr>
                <w:rFonts w:ascii="Times New Roman" w:eastAsia="SimSun" w:hAnsi="Times New Roman" w:cs="Times New Roman"/>
                <w:sz w:val="20"/>
                <w:szCs w:val="20"/>
                <w:lang w:eastAsia="zh-CN"/>
              </w:rPr>
            </w:pPr>
            <w:r w:rsidRPr="00245910">
              <w:rPr>
                <w:rFonts w:ascii="Times New Roman" w:eastAsia="SimSun" w:hAnsi="Times New Roman" w:cs="Times New Roman"/>
                <w:sz w:val="20"/>
                <w:szCs w:val="20"/>
                <w:lang w:eastAsia="zh-CN"/>
              </w:rPr>
              <w:t>zakwaterowanie</w:t>
            </w:r>
          </w:p>
        </w:tc>
        <w:tc>
          <w:tcPr>
            <w:tcW w:w="960" w:type="dxa"/>
            <w:shd w:val="clear" w:color="auto" w:fill="auto"/>
            <w:noWrap/>
            <w:vAlign w:val="bottom"/>
          </w:tcPr>
          <w:p w14:paraId="5C66968E" w14:textId="08857061" w:rsidR="003D3A6F" w:rsidRPr="00245910" w:rsidRDefault="00F10C88" w:rsidP="003D3A6F">
            <w:pPr>
              <w:jc w:val="righ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46,30</w:t>
            </w:r>
          </w:p>
        </w:tc>
      </w:tr>
      <w:tr w:rsidR="003D3A6F" w:rsidRPr="00245910" w14:paraId="78294EAE" w14:textId="77777777" w:rsidTr="003D3A6F">
        <w:trPr>
          <w:trHeight w:val="255"/>
          <w:jc w:val="center"/>
        </w:trPr>
        <w:tc>
          <w:tcPr>
            <w:tcW w:w="2800" w:type="dxa"/>
            <w:shd w:val="clear" w:color="auto" w:fill="auto"/>
            <w:noWrap/>
            <w:vAlign w:val="bottom"/>
          </w:tcPr>
          <w:p w14:paraId="3DBDE739" w14:textId="7924BE25" w:rsidR="003D3A6F" w:rsidRPr="00245910" w:rsidRDefault="00F10C88" w:rsidP="003D3A6F">
            <w:pPr>
              <w:jc w:val="righ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wyżywienie</w:t>
            </w:r>
          </w:p>
        </w:tc>
        <w:tc>
          <w:tcPr>
            <w:tcW w:w="960" w:type="dxa"/>
            <w:shd w:val="clear" w:color="auto" w:fill="auto"/>
            <w:noWrap/>
            <w:vAlign w:val="bottom"/>
          </w:tcPr>
          <w:p w14:paraId="24AF67AE" w14:textId="1ED49400" w:rsidR="003D3A6F" w:rsidRPr="00245910" w:rsidRDefault="00F10C88" w:rsidP="003D3A6F">
            <w:pPr>
              <w:jc w:val="righ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16,80</w:t>
            </w:r>
          </w:p>
        </w:tc>
      </w:tr>
      <w:tr w:rsidR="00F10C88" w:rsidRPr="00245910" w14:paraId="4E5FAD14" w14:textId="77777777" w:rsidTr="003D3A6F">
        <w:trPr>
          <w:trHeight w:val="255"/>
          <w:jc w:val="center"/>
        </w:trPr>
        <w:tc>
          <w:tcPr>
            <w:tcW w:w="2800" w:type="dxa"/>
            <w:shd w:val="clear" w:color="auto" w:fill="auto"/>
            <w:noWrap/>
            <w:vAlign w:val="bottom"/>
          </w:tcPr>
          <w:p w14:paraId="63BC6C8F" w14:textId="1AF4E624" w:rsidR="00F10C88" w:rsidRPr="00245910" w:rsidRDefault="00F10C88" w:rsidP="003D3A6F">
            <w:pPr>
              <w:jc w:val="righ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zakupy</w:t>
            </w:r>
          </w:p>
        </w:tc>
        <w:tc>
          <w:tcPr>
            <w:tcW w:w="960" w:type="dxa"/>
            <w:shd w:val="clear" w:color="auto" w:fill="auto"/>
            <w:noWrap/>
            <w:vAlign w:val="bottom"/>
          </w:tcPr>
          <w:p w14:paraId="0E3CD262" w14:textId="56A87FE2" w:rsidR="00F10C88" w:rsidRPr="00245910" w:rsidRDefault="00F10C88" w:rsidP="003D3A6F">
            <w:pPr>
              <w:jc w:val="righ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16,80</w:t>
            </w:r>
          </w:p>
        </w:tc>
      </w:tr>
      <w:tr w:rsidR="003D3A6F" w:rsidRPr="00245910" w14:paraId="2793A807" w14:textId="77777777" w:rsidTr="003D3A6F">
        <w:trPr>
          <w:trHeight w:val="255"/>
          <w:jc w:val="center"/>
        </w:trPr>
        <w:tc>
          <w:tcPr>
            <w:tcW w:w="2800" w:type="dxa"/>
            <w:shd w:val="clear" w:color="auto" w:fill="auto"/>
            <w:noWrap/>
            <w:vAlign w:val="bottom"/>
          </w:tcPr>
          <w:p w14:paraId="477FA9F0" w14:textId="26F5B3AD" w:rsidR="003D3A6F" w:rsidRPr="00245910" w:rsidRDefault="00F10C88" w:rsidP="003D3A6F">
            <w:pPr>
              <w:jc w:val="righ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Transport</w:t>
            </w:r>
          </w:p>
        </w:tc>
        <w:tc>
          <w:tcPr>
            <w:tcW w:w="960" w:type="dxa"/>
            <w:shd w:val="clear" w:color="auto" w:fill="auto"/>
            <w:noWrap/>
            <w:vAlign w:val="bottom"/>
          </w:tcPr>
          <w:p w14:paraId="34BF3CFE" w14:textId="3ED4D719" w:rsidR="003D3A6F" w:rsidRPr="00245910" w:rsidRDefault="00F10C88" w:rsidP="003D3A6F">
            <w:pPr>
              <w:jc w:val="righ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12,10</w:t>
            </w:r>
          </w:p>
        </w:tc>
      </w:tr>
      <w:tr w:rsidR="003D3A6F" w:rsidRPr="00245910" w14:paraId="0A337E02" w14:textId="77777777" w:rsidTr="003D3A6F">
        <w:trPr>
          <w:trHeight w:val="255"/>
          <w:jc w:val="center"/>
        </w:trPr>
        <w:tc>
          <w:tcPr>
            <w:tcW w:w="2800" w:type="dxa"/>
            <w:shd w:val="clear" w:color="auto" w:fill="auto"/>
            <w:noWrap/>
            <w:vAlign w:val="bottom"/>
          </w:tcPr>
          <w:p w14:paraId="66A1E085" w14:textId="5ACFB920" w:rsidR="003D3A6F" w:rsidRPr="00245910" w:rsidRDefault="00F10C88" w:rsidP="003D3A6F">
            <w:pPr>
              <w:jc w:val="righ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Rozrywka</w:t>
            </w:r>
          </w:p>
        </w:tc>
        <w:tc>
          <w:tcPr>
            <w:tcW w:w="960" w:type="dxa"/>
            <w:shd w:val="clear" w:color="auto" w:fill="auto"/>
            <w:noWrap/>
            <w:vAlign w:val="bottom"/>
          </w:tcPr>
          <w:p w14:paraId="0C328C0D" w14:textId="40EBFF4C" w:rsidR="003D3A6F" w:rsidRPr="00245910" w:rsidRDefault="00F10C88" w:rsidP="003D3A6F">
            <w:pPr>
              <w:jc w:val="righ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8,00</w:t>
            </w:r>
          </w:p>
        </w:tc>
      </w:tr>
      <w:tr w:rsidR="003D3A6F" w:rsidRPr="00245910" w14:paraId="099C1B0F" w14:textId="77777777" w:rsidTr="003D3A6F">
        <w:trPr>
          <w:trHeight w:val="255"/>
          <w:jc w:val="center"/>
        </w:trPr>
        <w:tc>
          <w:tcPr>
            <w:tcW w:w="2800" w:type="dxa"/>
            <w:shd w:val="clear" w:color="auto" w:fill="auto"/>
            <w:noWrap/>
            <w:vAlign w:val="bottom"/>
          </w:tcPr>
          <w:p w14:paraId="229B38F6" w14:textId="77777777" w:rsidR="003D3A6F" w:rsidRPr="00245910" w:rsidRDefault="003D3A6F" w:rsidP="003D3A6F">
            <w:pPr>
              <w:jc w:val="right"/>
              <w:rPr>
                <w:rFonts w:ascii="Times New Roman" w:eastAsia="SimSun" w:hAnsi="Times New Roman" w:cs="Times New Roman"/>
                <w:b/>
                <w:bCs/>
                <w:sz w:val="20"/>
                <w:szCs w:val="20"/>
                <w:lang w:eastAsia="zh-CN"/>
              </w:rPr>
            </w:pPr>
            <w:r w:rsidRPr="00245910">
              <w:rPr>
                <w:rFonts w:ascii="Times New Roman" w:eastAsia="SimSun" w:hAnsi="Times New Roman" w:cs="Times New Roman"/>
                <w:b/>
                <w:bCs/>
                <w:sz w:val="20"/>
                <w:szCs w:val="20"/>
                <w:lang w:eastAsia="zh-CN"/>
              </w:rPr>
              <w:t>razem</w:t>
            </w:r>
          </w:p>
        </w:tc>
        <w:tc>
          <w:tcPr>
            <w:tcW w:w="960" w:type="dxa"/>
            <w:shd w:val="clear" w:color="auto" w:fill="auto"/>
            <w:noWrap/>
            <w:vAlign w:val="bottom"/>
          </w:tcPr>
          <w:p w14:paraId="66CAB55A" w14:textId="77777777" w:rsidR="003D3A6F" w:rsidRPr="00245910" w:rsidRDefault="003D3A6F" w:rsidP="003D3A6F">
            <w:pPr>
              <w:jc w:val="right"/>
              <w:rPr>
                <w:rFonts w:ascii="Times New Roman" w:eastAsia="SimSun" w:hAnsi="Times New Roman" w:cs="Times New Roman"/>
                <w:b/>
                <w:bCs/>
                <w:sz w:val="20"/>
                <w:szCs w:val="20"/>
                <w:lang w:eastAsia="zh-CN"/>
              </w:rPr>
            </w:pPr>
            <w:r w:rsidRPr="00245910">
              <w:rPr>
                <w:rFonts w:ascii="Times New Roman" w:eastAsia="SimSun" w:hAnsi="Times New Roman" w:cs="Times New Roman"/>
                <w:b/>
                <w:bCs/>
                <w:sz w:val="20"/>
                <w:szCs w:val="20"/>
                <w:lang w:eastAsia="zh-CN"/>
              </w:rPr>
              <w:t>100,00%</w:t>
            </w:r>
          </w:p>
        </w:tc>
      </w:tr>
    </w:tbl>
    <w:p w14:paraId="44C6CE5D" w14:textId="77777777" w:rsidR="003D3A6F" w:rsidRPr="00245910" w:rsidRDefault="003D3A6F" w:rsidP="003D3A6F">
      <w:pPr>
        <w:jc w:val="both"/>
        <w:rPr>
          <w:rFonts w:ascii="Times New Roman" w:hAnsi="Times New Roman" w:cs="Times New Roman"/>
          <w:sz w:val="20"/>
          <w:szCs w:val="20"/>
        </w:rPr>
      </w:pPr>
    </w:p>
    <w:p w14:paraId="19E79D4E" w14:textId="67586B8E" w:rsidR="003D3A6F" w:rsidRPr="00245910" w:rsidRDefault="003D3A6F" w:rsidP="003D3A6F">
      <w:pPr>
        <w:jc w:val="both"/>
        <w:rPr>
          <w:rFonts w:ascii="Times New Roman" w:hAnsi="Times New Roman" w:cs="Times New Roman"/>
          <w:sz w:val="20"/>
          <w:szCs w:val="20"/>
          <w:lang w:val="en-US"/>
        </w:rPr>
      </w:pPr>
      <w:r w:rsidRPr="00245910">
        <w:rPr>
          <w:rFonts w:ascii="Times New Roman" w:hAnsi="Times New Roman" w:cs="Times New Roman"/>
          <w:sz w:val="20"/>
          <w:szCs w:val="20"/>
          <w:lang w:val="en-US"/>
        </w:rPr>
        <w:t xml:space="preserve">Źródło: </w:t>
      </w:r>
      <w:r w:rsidR="00F10C88" w:rsidRPr="00245910">
        <w:rPr>
          <w:rFonts w:ascii="Times New Roman" w:hAnsi="Times New Roman" w:cs="Times New Roman"/>
          <w:sz w:val="20"/>
          <w:szCs w:val="20"/>
        </w:rPr>
        <w:t xml:space="preserve">na podstawie danych </w:t>
      </w:r>
      <w:hyperlink r:id="rId8" w:history="1">
        <w:r w:rsidR="00F10C88" w:rsidRPr="00245910">
          <w:rPr>
            <w:rStyle w:val="Hipercze"/>
            <w:rFonts w:ascii="Times New Roman" w:hAnsi="Times New Roman" w:cs="Times New Roman"/>
            <w:sz w:val="20"/>
            <w:szCs w:val="20"/>
          </w:rPr>
          <w:t>www.tourismvancouver.com/docs/help/research</w:t>
        </w:r>
      </w:hyperlink>
    </w:p>
    <w:p w14:paraId="7B3E7DFD" w14:textId="77777777" w:rsidR="00200229" w:rsidRDefault="00200229" w:rsidP="008C5D57">
      <w:pPr>
        <w:spacing w:line="360" w:lineRule="auto"/>
        <w:ind w:firstLine="708"/>
        <w:jc w:val="both"/>
        <w:rPr>
          <w:rFonts w:ascii="Times New Roman" w:hAnsi="Times New Roman" w:cs="Times New Roman"/>
        </w:rPr>
      </w:pPr>
    </w:p>
    <w:p w14:paraId="64FFF7C8" w14:textId="62520C05" w:rsidR="000951E8" w:rsidRPr="008C5D57" w:rsidRDefault="000951E8" w:rsidP="008C5D57">
      <w:pPr>
        <w:spacing w:line="360" w:lineRule="auto"/>
        <w:ind w:firstLine="708"/>
        <w:jc w:val="both"/>
        <w:rPr>
          <w:rFonts w:ascii="Times New Roman" w:hAnsi="Times New Roman" w:cs="Times New Roman"/>
          <w:sz w:val="20"/>
          <w:szCs w:val="20"/>
          <w:lang w:val="en-US"/>
        </w:rPr>
      </w:pPr>
      <w:r w:rsidRPr="00245910">
        <w:rPr>
          <w:rFonts w:ascii="Times New Roman" w:hAnsi="Times New Roman" w:cs="Times New Roman"/>
        </w:rPr>
        <w:t xml:space="preserve">Interesujące badania na rynku turystyki konferencyjnej prowadzone są w Niemczech. </w:t>
      </w:r>
      <w:r w:rsidRPr="00245910">
        <w:rPr>
          <w:rFonts w:ascii="Times New Roman" w:hAnsi="Times New Roman" w:cs="Times New Roman"/>
          <w:lang w:val="en-US"/>
        </w:rPr>
        <w:t xml:space="preserve">W latach 1999 – 2000 German Convention Bureau zrealizowało badania  </w:t>
      </w:r>
      <w:r w:rsidRPr="00245910">
        <w:rPr>
          <w:rFonts w:ascii="Times New Roman" w:hAnsi="Times New Roman" w:cs="Times New Roman"/>
          <w:i/>
          <w:lang w:val="en-US"/>
        </w:rPr>
        <w:t>The German Meeting and Convention Market</w:t>
      </w:r>
      <w:r w:rsidRPr="00245910">
        <w:rPr>
          <w:rFonts w:ascii="Times New Roman" w:hAnsi="Times New Roman" w:cs="Times New Roman"/>
          <w:lang w:val="en-US"/>
        </w:rPr>
        <w:t xml:space="preserve">. </w:t>
      </w:r>
      <w:r w:rsidRPr="00245910">
        <w:rPr>
          <w:rFonts w:ascii="Times New Roman" w:hAnsi="Times New Roman" w:cs="Times New Roman"/>
        </w:rPr>
        <w:t xml:space="preserve">Ponadto na targach turystyki biznesowej „IMEX” we Frankfurcie wśród gości i wystawców co roku prowadzone są badania rynkowe, których raporty dostępne są na stronie internetowej targów </w:t>
      </w:r>
      <w:hyperlink r:id="rId9" w:history="1">
        <w:r w:rsidRPr="00245910">
          <w:rPr>
            <w:rStyle w:val="Hipercze"/>
            <w:rFonts w:ascii="Times New Roman" w:hAnsi="Times New Roman" w:cs="Times New Roman"/>
          </w:rPr>
          <w:t>www.imex-frankfurt.com</w:t>
        </w:r>
      </w:hyperlink>
      <w:r w:rsidRPr="00245910">
        <w:rPr>
          <w:rFonts w:ascii="Times New Roman" w:hAnsi="Times New Roman" w:cs="Times New Roman"/>
        </w:rPr>
        <w:t xml:space="preserve"> . Potencjał usługowy Niemiec na rynku konferencyjnym stanowi </w:t>
      </w:r>
      <w:r w:rsidR="00767161">
        <w:rPr>
          <w:rFonts w:ascii="Times New Roman" w:hAnsi="Times New Roman" w:cs="Times New Roman"/>
        </w:rPr>
        <w:t>niemal 11 tysięcy</w:t>
      </w:r>
      <w:r w:rsidRPr="00245910">
        <w:rPr>
          <w:rFonts w:ascii="Times New Roman" w:hAnsi="Times New Roman" w:cs="Times New Roman"/>
        </w:rPr>
        <w:t xml:space="preserve"> obiektów</w:t>
      </w:r>
      <w:r w:rsidRPr="00245910">
        <w:rPr>
          <w:rStyle w:val="Odwoanieprzypisudolnego"/>
          <w:rFonts w:ascii="Times New Roman" w:hAnsi="Times New Roman" w:cs="Times New Roman"/>
        </w:rPr>
        <w:footnoteReference w:id="23"/>
      </w:r>
      <w:r w:rsidRPr="00245910">
        <w:rPr>
          <w:rFonts w:ascii="Times New Roman" w:hAnsi="Times New Roman" w:cs="Times New Roman"/>
        </w:rPr>
        <w:t>. Odbyw</w:t>
      </w:r>
      <w:r w:rsidR="00767161">
        <w:rPr>
          <w:rFonts w:ascii="Times New Roman" w:hAnsi="Times New Roman" w:cs="Times New Roman"/>
        </w:rPr>
        <w:t>a się w nich rocznie ponad milion</w:t>
      </w:r>
      <w:r w:rsidRPr="00245910">
        <w:rPr>
          <w:rFonts w:ascii="Times New Roman" w:hAnsi="Times New Roman" w:cs="Times New Roman"/>
        </w:rPr>
        <w:t xml:space="preserve"> spotkań konferencyjnych, w których uczestniczy 63 mln osób (w tym 8,7 mln z zagranicy). Całkowita wartość przychodów generowanych przez konferencje szacowana jest na około 43 biliony euro. </w:t>
      </w:r>
    </w:p>
    <w:p w14:paraId="3BCC4745" w14:textId="5B312BEB" w:rsidR="000951E8" w:rsidRPr="00245910" w:rsidRDefault="000951E8" w:rsidP="000951E8">
      <w:pPr>
        <w:spacing w:line="360" w:lineRule="auto"/>
        <w:ind w:firstLine="708"/>
        <w:jc w:val="both"/>
        <w:rPr>
          <w:rFonts w:ascii="Times New Roman" w:hAnsi="Times New Roman" w:cs="Times New Roman"/>
        </w:rPr>
      </w:pPr>
      <w:r w:rsidRPr="00245910">
        <w:rPr>
          <w:rFonts w:ascii="Times New Roman" w:hAnsi="Times New Roman" w:cs="Times New Roman"/>
        </w:rPr>
        <w:t xml:space="preserve">Z badań The Sydney Convention &amp; Visitor Bureau </w:t>
      </w:r>
      <w:r w:rsidR="00A42FDF">
        <w:rPr>
          <w:rFonts w:ascii="Times New Roman" w:hAnsi="Times New Roman" w:cs="Times New Roman"/>
        </w:rPr>
        <w:t>wynika</w:t>
      </w:r>
      <w:r w:rsidRPr="00245910">
        <w:rPr>
          <w:rFonts w:ascii="Times New Roman" w:hAnsi="Times New Roman" w:cs="Times New Roman"/>
        </w:rPr>
        <w:t xml:space="preserve">, że 57% delegatów odwiedzających Sydney wydłuża pobyty w Australii o podróże przed i/lub po konferencyjne. Natomiast w </w:t>
      </w:r>
      <w:r w:rsidRPr="00245910">
        <w:rPr>
          <w:rFonts w:ascii="Times New Roman" w:hAnsi="Times New Roman" w:cs="Times New Roman"/>
          <w:bCs/>
        </w:rPr>
        <w:t>Nowej Zelandii</w:t>
      </w:r>
      <w:r w:rsidRPr="00245910">
        <w:rPr>
          <w:rFonts w:ascii="Times New Roman" w:hAnsi="Times New Roman" w:cs="Times New Roman"/>
        </w:rPr>
        <w:t xml:space="preserve"> średnia długość pobytu uczestnika na konferencji wynosi 3,5 dnia, a przeciętne wydatki delegatów na dzień osiągają wielkości około 300 NZ$ (przy czym z Australii - 297, Europy – 241, USA – 373) i są trzy razy wyższe niż turystów przyjeżdżających w innych celach. Również w badaniach konferencji w Korei Południowej stwierdzono, że wydatki uczestników konferencji są 3 razy większe od innych odwiedzających </w:t>
      </w:r>
      <w:r w:rsidRPr="00245910">
        <w:rPr>
          <w:rStyle w:val="Odwoanieprzypisudolnego"/>
          <w:rFonts w:ascii="Times New Roman" w:hAnsi="Times New Roman" w:cs="Times New Roman"/>
          <w:lang w:val="en-US"/>
        </w:rPr>
        <w:footnoteReference w:id="24"/>
      </w:r>
      <w:r w:rsidRPr="00245910">
        <w:rPr>
          <w:rFonts w:ascii="Times New Roman" w:hAnsi="Times New Roman" w:cs="Times New Roman"/>
        </w:rPr>
        <w:t>.</w:t>
      </w:r>
    </w:p>
    <w:p w14:paraId="26D6EBDF" w14:textId="5E2F433F" w:rsidR="000951E8" w:rsidRPr="00245910" w:rsidRDefault="000951E8" w:rsidP="000951E8">
      <w:pPr>
        <w:spacing w:line="360" w:lineRule="auto"/>
        <w:ind w:firstLine="708"/>
        <w:jc w:val="both"/>
        <w:rPr>
          <w:rFonts w:ascii="Times New Roman" w:hAnsi="Times New Roman" w:cs="Times New Roman"/>
        </w:rPr>
      </w:pPr>
      <w:r w:rsidRPr="00245910">
        <w:rPr>
          <w:rFonts w:ascii="Times New Roman" w:hAnsi="Times New Roman" w:cs="Times New Roman"/>
        </w:rPr>
        <w:t xml:space="preserve">Wyniki </w:t>
      </w:r>
      <w:r w:rsidR="00A42FDF">
        <w:rPr>
          <w:rFonts w:ascii="Times New Roman" w:hAnsi="Times New Roman" w:cs="Times New Roman"/>
        </w:rPr>
        <w:t xml:space="preserve">różnych </w:t>
      </w:r>
      <w:r w:rsidRPr="00245910">
        <w:rPr>
          <w:rFonts w:ascii="Times New Roman" w:hAnsi="Times New Roman" w:cs="Times New Roman"/>
        </w:rPr>
        <w:t xml:space="preserve">badań </w:t>
      </w:r>
      <w:r w:rsidR="00A42FDF">
        <w:rPr>
          <w:rFonts w:ascii="Times New Roman" w:hAnsi="Times New Roman" w:cs="Times New Roman"/>
        </w:rPr>
        <w:t xml:space="preserve">na świecie </w:t>
      </w:r>
      <w:r w:rsidRPr="00245910">
        <w:rPr>
          <w:rFonts w:ascii="Times New Roman" w:hAnsi="Times New Roman" w:cs="Times New Roman"/>
        </w:rPr>
        <w:t>wskazują na duże znaczenie gospodarcze rynku turystyki konferencyjnej dla poszczególnych krajów, czy regionów, czy też hoteli jako głównych obiektów konferencyjnych. Oszacowanie ekonomicznych skutków realizacji spotkań konferencyjnych nie jest łatwe. Nie mniej analiza danych z różnych krajów pozwala na rozpoznanie pewnych prawidłowości w wielko</w:t>
      </w:r>
      <w:r w:rsidR="00A42FDF">
        <w:rPr>
          <w:rFonts w:ascii="Times New Roman" w:hAnsi="Times New Roman" w:cs="Times New Roman"/>
        </w:rPr>
        <w:t>ści wydatków, ich struktury</w:t>
      </w:r>
      <w:r w:rsidRPr="00245910">
        <w:rPr>
          <w:rFonts w:ascii="Times New Roman" w:hAnsi="Times New Roman" w:cs="Times New Roman"/>
        </w:rPr>
        <w:t xml:space="preserve">. </w:t>
      </w:r>
    </w:p>
    <w:p w14:paraId="75977ADC" w14:textId="646DC6B9" w:rsidR="00916C55" w:rsidRDefault="000951E8" w:rsidP="00221A17">
      <w:pPr>
        <w:spacing w:line="360" w:lineRule="auto"/>
        <w:ind w:firstLine="708"/>
        <w:jc w:val="both"/>
        <w:rPr>
          <w:rFonts w:ascii="Times New Roman" w:hAnsi="Times New Roman" w:cs="Times New Roman"/>
        </w:rPr>
      </w:pPr>
      <w:r w:rsidRPr="00245910">
        <w:rPr>
          <w:rFonts w:ascii="Times New Roman" w:hAnsi="Times New Roman" w:cs="Times New Roman"/>
        </w:rPr>
        <w:t>Struktura wydatków uczestników spotkań konferencyjnych pokazuje, że istotne są konferencje z noclegami, gdyż to noclegi generują prawie połowę przychodów. Ilościowo jednak dominują spotkania małe, raczej bez noclegów. Jednak wydatki w przeliczeniu na uczestnika konferencji są nawet 3 razy wyższe, odwiedzających</w:t>
      </w:r>
      <w:r w:rsidR="00116B6E">
        <w:rPr>
          <w:rFonts w:ascii="Times New Roman" w:hAnsi="Times New Roman" w:cs="Times New Roman"/>
        </w:rPr>
        <w:t xml:space="preserve"> miejscowość w celach wypoczynkowych</w:t>
      </w:r>
      <w:r w:rsidRPr="00245910">
        <w:rPr>
          <w:rFonts w:ascii="Times New Roman" w:hAnsi="Times New Roman" w:cs="Times New Roman"/>
        </w:rPr>
        <w:t>, na co wpływa z pewnością specyficzny sposób finansowania pobytu uczestnika konferencji: częściowo z własnych funduszy a częściowo z instytucji (organizatora lub instytucji delegującej). Przy czym</w:t>
      </w:r>
      <w:r w:rsidR="00116B6E">
        <w:rPr>
          <w:rFonts w:ascii="Times New Roman" w:hAnsi="Times New Roman" w:cs="Times New Roman"/>
        </w:rPr>
        <w:t>,</w:t>
      </w:r>
      <w:r w:rsidRPr="00245910">
        <w:rPr>
          <w:rFonts w:ascii="Times New Roman" w:hAnsi="Times New Roman" w:cs="Times New Roman"/>
        </w:rPr>
        <w:t xml:space="preserve"> jak pokazują badania brytyjskie korporacje wykazują większą skłonność do pokrywania kosztów uczestnictwa delegatów, niż stowarzyszenia i organizacje non-proft. Na efekty gospodarcze turystyki konferencyjnej dla regionu wpływ ma także obecność osób towarzyszących uczestnikom konferencji oraz przedłużanie pobytu. Zauważyć należy, że wraz ze wzrostem odległości miejsca konferencji od miejsca zamieszkania delegata, rośnie odsetek uczestników z osobami towarzyszącymi i s</w:t>
      </w:r>
      <w:r w:rsidR="00116B6E">
        <w:rPr>
          <w:rFonts w:ascii="Times New Roman" w:hAnsi="Times New Roman" w:cs="Times New Roman"/>
        </w:rPr>
        <w:t>kłonność do przedłużania pobytu</w:t>
      </w:r>
      <w:r w:rsidR="00916C55">
        <w:rPr>
          <w:rFonts w:ascii="Times New Roman" w:hAnsi="Times New Roman" w:cs="Times New Roman"/>
        </w:rPr>
        <w:t>.</w:t>
      </w:r>
    </w:p>
    <w:p w14:paraId="4F4EDA17" w14:textId="25AD94AD" w:rsidR="005F7E1A" w:rsidRPr="005F7E1A" w:rsidRDefault="00720400" w:rsidP="005F7E1A">
      <w:pPr>
        <w:spacing w:line="360" w:lineRule="auto"/>
        <w:ind w:firstLine="708"/>
        <w:jc w:val="both"/>
        <w:rPr>
          <w:rFonts w:ascii="Times New Roman" w:hAnsi="Times New Roman" w:cs="Times New Roman"/>
        </w:rPr>
      </w:pPr>
      <w:r w:rsidRPr="005F7E1A">
        <w:rPr>
          <w:rFonts w:ascii="Times New Roman" w:hAnsi="Times New Roman" w:cs="Times New Roman"/>
        </w:rPr>
        <w:t xml:space="preserve">Rozwijający się rynek konferencyjny spowodował wzrost aktywności większości miast i regionów w zakresie </w:t>
      </w:r>
      <w:r w:rsidRPr="00221A17">
        <w:rPr>
          <w:rFonts w:ascii="Times New Roman" w:hAnsi="Times New Roman" w:cs="Times New Roman"/>
          <w:b/>
        </w:rPr>
        <w:t xml:space="preserve">inwestycji </w:t>
      </w:r>
      <w:r w:rsidR="00A42FDF" w:rsidRPr="00221A17">
        <w:rPr>
          <w:rFonts w:ascii="Times New Roman" w:hAnsi="Times New Roman" w:cs="Times New Roman"/>
          <w:b/>
        </w:rPr>
        <w:t>i</w:t>
      </w:r>
      <w:r w:rsidRPr="00221A17">
        <w:rPr>
          <w:rFonts w:ascii="Times New Roman" w:hAnsi="Times New Roman" w:cs="Times New Roman"/>
          <w:b/>
        </w:rPr>
        <w:t xml:space="preserve"> budowy </w:t>
      </w:r>
      <w:r w:rsidR="00A42FDF" w:rsidRPr="00221A17">
        <w:rPr>
          <w:rFonts w:ascii="Times New Roman" w:hAnsi="Times New Roman" w:cs="Times New Roman"/>
          <w:b/>
        </w:rPr>
        <w:t>nowych zadaszonych</w:t>
      </w:r>
      <w:r w:rsidR="00A42FDF" w:rsidRPr="005F7E1A">
        <w:rPr>
          <w:rFonts w:ascii="Times New Roman" w:hAnsi="Times New Roman" w:cs="Times New Roman"/>
        </w:rPr>
        <w:t xml:space="preserve"> wielofunkcyjnych obiektów spotkań, z </w:t>
      </w:r>
      <w:r w:rsidRPr="005F7E1A">
        <w:rPr>
          <w:rFonts w:ascii="Times New Roman" w:hAnsi="Times New Roman" w:cs="Times New Roman"/>
        </w:rPr>
        <w:t xml:space="preserve">udogodnieniami niezbędnymi dla organizacji konferencji. </w:t>
      </w:r>
      <w:r w:rsidR="00393EC7" w:rsidRPr="005F7E1A">
        <w:rPr>
          <w:rFonts w:ascii="Times New Roman" w:hAnsi="Times New Roman" w:cs="Times New Roman"/>
        </w:rPr>
        <w:t>Każda taka inwestycja to bardzo duże środki przeznaczane na budowę obiektu</w:t>
      </w:r>
      <w:r w:rsidR="00916C55" w:rsidRPr="005F7E1A">
        <w:rPr>
          <w:rFonts w:ascii="Times New Roman" w:hAnsi="Times New Roman" w:cs="Times New Roman"/>
        </w:rPr>
        <w:t>,</w:t>
      </w:r>
      <w:r w:rsidR="00393EC7" w:rsidRPr="005F7E1A">
        <w:rPr>
          <w:rFonts w:ascii="Times New Roman" w:hAnsi="Times New Roman" w:cs="Times New Roman"/>
        </w:rPr>
        <w:t xml:space="preserve"> jak i jego późniejsze utrzymanie. W związku z tym</w:t>
      </w:r>
      <w:r w:rsidR="00916C55" w:rsidRPr="005F7E1A">
        <w:rPr>
          <w:rFonts w:ascii="Times New Roman" w:hAnsi="Times New Roman" w:cs="Times New Roman"/>
        </w:rPr>
        <w:t>,</w:t>
      </w:r>
      <w:r w:rsidR="00393EC7" w:rsidRPr="005F7E1A">
        <w:rPr>
          <w:rFonts w:ascii="Times New Roman" w:hAnsi="Times New Roman" w:cs="Times New Roman"/>
        </w:rPr>
        <w:t xml:space="preserve"> iż w </w:t>
      </w:r>
      <w:r w:rsidR="00916C55" w:rsidRPr="005F7E1A">
        <w:rPr>
          <w:rFonts w:ascii="Times New Roman" w:hAnsi="Times New Roman" w:cs="Times New Roman"/>
        </w:rPr>
        <w:t>znacznej</w:t>
      </w:r>
      <w:r w:rsidR="00393EC7" w:rsidRPr="005F7E1A">
        <w:rPr>
          <w:rFonts w:ascii="Times New Roman" w:hAnsi="Times New Roman" w:cs="Times New Roman"/>
        </w:rPr>
        <w:t xml:space="preserve"> części środki te pozostaną u lokalnych wykonawców</w:t>
      </w:r>
      <w:r w:rsidR="00A42FDF" w:rsidRPr="005F7E1A">
        <w:rPr>
          <w:rFonts w:ascii="Times New Roman" w:hAnsi="Times New Roman" w:cs="Times New Roman"/>
        </w:rPr>
        <w:t>,</w:t>
      </w:r>
      <w:r w:rsidR="00393EC7" w:rsidRPr="005F7E1A">
        <w:rPr>
          <w:rFonts w:ascii="Times New Roman" w:hAnsi="Times New Roman" w:cs="Times New Roman"/>
        </w:rPr>
        <w:t xml:space="preserve"> można spodziewać się iż takie inwestycje także odnoszą pozytywny skutek ekonomiczny w regionie.</w:t>
      </w:r>
    </w:p>
    <w:p w14:paraId="6BC3B1C0" w14:textId="08755BB3" w:rsidR="005F7E1A" w:rsidRPr="005F7E1A" w:rsidRDefault="005F7E1A" w:rsidP="005F7E1A">
      <w:pPr>
        <w:spacing w:line="360" w:lineRule="auto"/>
        <w:jc w:val="both"/>
        <w:rPr>
          <w:rFonts w:ascii="Times New Roman" w:hAnsi="Times New Roman" w:cs="Times New Roman"/>
        </w:rPr>
      </w:pPr>
      <w:r w:rsidRPr="005F7E1A">
        <w:rPr>
          <w:rFonts w:ascii="Times New Roman" w:hAnsi="Times New Roman" w:cs="Times New Roman"/>
        </w:rPr>
        <w:t>Przykładowe inwestycje w zadaszone wielofunkcyjne obiekty w Europie zrealizowane w ciągu ostatnich kilkunastu lat:</w:t>
      </w:r>
    </w:p>
    <w:p w14:paraId="1A76D019" w14:textId="38ADD5A9" w:rsidR="00A42FDF" w:rsidRPr="005F7E1A" w:rsidRDefault="005F7E1A" w:rsidP="005F7E1A">
      <w:pPr>
        <w:pStyle w:val="Akapitzlist"/>
        <w:numPr>
          <w:ilvl w:val="0"/>
          <w:numId w:val="14"/>
        </w:numPr>
        <w:spacing w:line="360" w:lineRule="auto"/>
        <w:jc w:val="both"/>
        <w:rPr>
          <w:rFonts w:ascii="Times New Roman" w:hAnsi="Times New Roman" w:cs="Times New Roman"/>
        </w:rPr>
      </w:pPr>
      <w:r w:rsidRPr="005F7E1A">
        <w:rPr>
          <w:rFonts w:ascii="Times New Roman" w:hAnsi="Times New Roman" w:cs="Times New Roman"/>
        </w:rPr>
        <w:t>Shiffield Arena -</w:t>
      </w:r>
      <w:r w:rsidR="00A42FDF" w:rsidRPr="005F7E1A">
        <w:rPr>
          <w:rFonts w:ascii="Times New Roman" w:hAnsi="Times New Roman" w:cs="Times New Roman"/>
        </w:rPr>
        <w:t xml:space="preserve"> 45,0 mln </w:t>
      </w:r>
      <w:r w:rsidRPr="005F7E1A">
        <w:rPr>
          <w:rFonts w:ascii="Times New Roman" w:hAnsi="Times New Roman" w:cs="Times New Roman"/>
        </w:rPr>
        <w:t>£</w:t>
      </w:r>
      <w:r w:rsidR="00F10C88">
        <w:rPr>
          <w:rFonts w:ascii="Times New Roman" w:hAnsi="Times New Roman" w:cs="Times New Roman"/>
        </w:rPr>
        <w:t>,</w:t>
      </w:r>
    </w:p>
    <w:p w14:paraId="5B1A1297" w14:textId="7FEA8012" w:rsidR="00A42FDF" w:rsidRPr="005F7E1A" w:rsidRDefault="00A42FDF" w:rsidP="005F7E1A">
      <w:pPr>
        <w:pStyle w:val="Akapitzlist"/>
        <w:numPr>
          <w:ilvl w:val="0"/>
          <w:numId w:val="14"/>
        </w:numPr>
        <w:spacing w:line="360" w:lineRule="auto"/>
        <w:jc w:val="both"/>
        <w:rPr>
          <w:rFonts w:ascii="Times New Roman" w:hAnsi="Times New Roman" w:cs="Times New Roman"/>
        </w:rPr>
      </w:pPr>
      <w:r w:rsidRPr="005F7E1A">
        <w:rPr>
          <w:rFonts w:ascii="Times New Roman" w:hAnsi="Times New Roman" w:cs="Times New Roman"/>
        </w:rPr>
        <w:t>Birmingham National Indoo</w:t>
      </w:r>
      <w:r w:rsidR="005F7E1A" w:rsidRPr="005F7E1A">
        <w:rPr>
          <w:rFonts w:ascii="Times New Roman" w:hAnsi="Times New Roman" w:cs="Times New Roman"/>
        </w:rPr>
        <w:t xml:space="preserve">r Arena - </w:t>
      </w:r>
      <w:r w:rsidRPr="005F7E1A">
        <w:rPr>
          <w:rFonts w:ascii="Times New Roman" w:hAnsi="Times New Roman" w:cs="Times New Roman"/>
        </w:rPr>
        <w:t>51,0 mln £</w:t>
      </w:r>
      <w:r w:rsidR="00F10C88">
        <w:rPr>
          <w:rFonts w:ascii="Times New Roman" w:hAnsi="Times New Roman" w:cs="Times New Roman"/>
        </w:rPr>
        <w:t>,</w:t>
      </w:r>
    </w:p>
    <w:p w14:paraId="12481DF3" w14:textId="62401DE9" w:rsidR="00A42FDF" w:rsidRPr="005F7E1A" w:rsidRDefault="005F7E1A" w:rsidP="005F7E1A">
      <w:pPr>
        <w:pStyle w:val="Akapitzlist"/>
        <w:numPr>
          <w:ilvl w:val="0"/>
          <w:numId w:val="14"/>
        </w:numPr>
        <w:spacing w:line="360" w:lineRule="auto"/>
        <w:jc w:val="both"/>
        <w:rPr>
          <w:rFonts w:ascii="Times New Roman" w:hAnsi="Times New Roman" w:cs="Times New Roman"/>
        </w:rPr>
      </w:pPr>
      <w:r w:rsidRPr="005F7E1A">
        <w:rPr>
          <w:rFonts w:ascii="Times New Roman" w:hAnsi="Times New Roman" w:cs="Times New Roman"/>
        </w:rPr>
        <w:t>Newcastle Arena -</w:t>
      </w:r>
      <w:r w:rsidR="00A42FDF" w:rsidRPr="005F7E1A">
        <w:rPr>
          <w:rFonts w:ascii="Times New Roman" w:hAnsi="Times New Roman" w:cs="Times New Roman"/>
        </w:rPr>
        <w:t>10,5 mln £</w:t>
      </w:r>
      <w:r w:rsidR="00F10C88">
        <w:rPr>
          <w:rFonts w:ascii="Times New Roman" w:hAnsi="Times New Roman" w:cs="Times New Roman"/>
        </w:rPr>
        <w:t>,</w:t>
      </w:r>
    </w:p>
    <w:p w14:paraId="03D5C5FD" w14:textId="50C858B9" w:rsidR="005F7E1A" w:rsidRPr="005F7E1A" w:rsidRDefault="00720400" w:rsidP="005F7E1A">
      <w:pPr>
        <w:pStyle w:val="Akapitzlist"/>
        <w:numPr>
          <w:ilvl w:val="0"/>
          <w:numId w:val="14"/>
        </w:numPr>
        <w:spacing w:line="360" w:lineRule="auto"/>
        <w:jc w:val="both"/>
        <w:rPr>
          <w:rFonts w:ascii="Times New Roman" w:hAnsi="Times New Roman" w:cs="Times New Roman"/>
        </w:rPr>
      </w:pPr>
      <w:r w:rsidRPr="005F7E1A">
        <w:rPr>
          <w:rFonts w:ascii="Times New Roman" w:hAnsi="Times New Roman" w:cs="Times New Roman"/>
        </w:rPr>
        <w:t>Belgrad Arena - 70 mln €</w:t>
      </w:r>
      <w:r w:rsidR="00F10C88">
        <w:rPr>
          <w:rFonts w:ascii="Times New Roman" w:hAnsi="Times New Roman" w:cs="Times New Roman"/>
        </w:rPr>
        <w:t>,</w:t>
      </w:r>
      <w:r w:rsidRPr="005F7E1A">
        <w:rPr>
          <w:rFonts w:ascii="Times New Roman" w:hAnsi="Times New Roman" w:cs="Times New Roman"/>
        </w:rPr>
        <w:t xml:space="preserve"> </w:t>
      </w:r>
    </w:p>
    <w:p w14:paraId="5D63825E" w14:textId="31008C52" w:rsidR="005F7E1A" w:rsidRPr="005F7E1A" w:rsidRDefault="00720400" w:rsidP="005F7E1A">
      <w:pPr>
        <w:pStyle w:val="Akapitzlist"/>
        <w:numPr>
          <w:ilvl w:val="0"/>
          <w:numId w:val="14"/>
        </w:numPr>
        <w:spacing w:line="360" w:lineRule="auto"/>
        <w:jc w:val="both"/>
        <w:rPr>
          <w:rFonts w:ascii="Times New Roman" w:hAnsi="Times New Roman" w:cs="Times New Roman"/>
        </w:rPr>
      </w:pPr>
      <w:r w:rsidRPr="005F7E1A">
        <w:rPr>
          <w:rFonts w:ascii="Times New Roman" w:hAnsi="Times New Roman" w:cs="Times New Roman"/>
        </w:rPr>
        <w:t xml:space="preserve">Lanxess Arena </w:t>
      </w:r>
      <w:r w:rsidR="005F7E1A" w:rsidRPr="005F7E1A">
        <w:rPr>
          <w:rFonts w:ascii="Times New Roman" w:hAnsi="Times New Roman" w:cs="Times New Roman"/>
        </w:rPr>
        <w:t xml:space="preserve">(Kolonia) </w:t>
      </w:r>
      <w:r w:rsidRPr="005F7E1A">
        <w:rPr>
          <w:rFonts w:ascii="Times New Roman" w:hAnsi="Times New Roman" w:cs="Times New Roman"/>
        </w:rPr>
        <w:t>– 153 mln €</w:t>
      </w:r>
      <w:r w:rsidR="00F10C88">
        <w:rPr>
          <w:rFonts w:ascii="Times New Roman" w:hAnsi="Times New Roman" w:cs="Times New Roman"/>
        </w:rPr>
        <w:t>,</w:t>
      </w:r>
      <w:r w:rsidRPr="005F7E1A">
        <w:rPr>
          <w:rFonts w:ascii="Times New Roman" w:hAnsi="Times New Roman" w:cs="Times New Roman"/>
        </w:rPr>
        <w:t xml:space="preserve"> </w:t>
      </w:r>
    </w:p>
    <w:p w14:paraId="4A7556B7" w14:textId="7D13FAD4" w:rsidR="005F7E1A" w:rsidRPr="00221A17" w:rsidRDefault="00720400" w:rsidP="005F7E1A">
      <w:pPr>
        <w:pStyle w:val="Akapitzlist"/>
        <w:numPr>
          <w:ilvl w:val="0"/>
          <w:numId w:val="14"/>
        </w:numPr>
        <w:spacing w:line="360" w:lineRule="auto"/>
        <w:jc w:val="both"/>
        <w:rPr>
          <w:rFonts w:ascii="Times New Roman" w:hAnsi="Times New Roman" w:cs="Times New Roman"/>
        </w:rPr>
      </w:pPr>
      <w:r w:rsidRPr="005F7E1A">
        <w:rPr>
          <w:rFonts w:ascii="Times New Roman" w:hAnsi="Times New Roman" w:cs="Times New Roman"/>
        </w:rPr>
        <w:t>Manchester Evening News Arena – 52 mln £</w:t>
      </w:r>
      <w:r w:rsidR="00F10C88">
        <w:rPr>
          <w:rFonts w:ascii="Times New Roman" w:hAnsi="Times New Roman" w:cs="Times New Roman"/>
        </w:rPr>
        <w:t>.</w:t>
      </w:r>
    </w:p>
    <w:p w14:paraId="53754F1D" w14:textId="3FBFE506" w:rsidR="00720400" w:rsidRPr="005F7E1A" w:rsidRDefault="00720400" w:rsidP="005F7E1A">
      <w:pPr>
        <w:spacing w:line="360" w:lineRule="auto"/>
        <w:jc w:val="both"/>
        <w:rPr>
          <w:rFonts w:ascii="Times New Roman" w:hAnsi="Times New Roman" w:cs="Times New Roman"/>
        </w:rPr>
      </w:pPr>
      <w:r w:rsidRPr="005F7E1A">
        <w:rPr>
          <w:rFonts w:ascii="Times New Roman" w:hAnsi="Times New Roman" w:cs="Times New Roman"/>
        </w:rPr>
        <w:t xml:space="preserve">Budowa takich obiektów, to </w:t>
      </w:r>
      <w:r w:rsidR="005F7E1A" w:rsidRPr="005F7E1A">
        <w:rPr>
          <w:rFonts w:ascii="Times New Roman" w:hAnsi="Times New Roman" w:cs="Times New Roman"/>
        </w:rPr>
        <w:t xml:space="preserve">także </w:t>
      </w:r>
      <w:r w:rsidRPr="005F7E1A">
        <w:rPr>
          <w:rFonts w:ascii="Times New Roman" w:hAnsi="Times New Roman" w:cs="Times New Roman"/>
        </w:rPr>
        <w:t xml:space="preserve">miejsca pracy dla bezpośrednio zaangażowanych </w:t>
      </w:r>
      <w:r w:rsidR="005F7E1A" w:rsidRPr="005F7E1A">
        <w:rPr>
          <w:rFonts w:ascii="Times New Roman" w:hAnsi="Times New Roman" w:cs="Times New Roman"/>
        </w:rPr>
        <w:t xml:space="preserve">w obsługę </w:t>
      </w:r>
      <w:r w:rsidRPr="005F7E1A">
        <w:rPr>
          <w:rFonts w:ascii="Times New Roman" w:hAnsi="Times New Roman" w:cs="Times New Roman"/>
        </w:rPr>
        <w:t xml:space="preserve">osób, jak i </w:t>
      </w:r>
      <w:r w:rsidR="005F7E1A" w:rsidRPr="005F7E1A">
        <w:rPr>
          <w:rFonts w:ascii="Times New Roman" w:hAnsi="Times New Roman" w:cs="Times New Roman"/>
        </w:rPr>
        <w:t xml:space="preserve">dla </w:t>
      </w:r>
      <w:r w:rsidRPr="005F7E1A">
        <w:rPr>
          <w:rFonts w:ascii="Times New Roman" w:hAnsi="Times New Roman" w:cs="Times New Roman"/>
        </w:rPr>
        <w:t>wielu firm współpracujących. W Wiedniu w 2007 roku, przy 713 kongresach zlecanych przez organizacje non-profit i administracje publiczną, zatrudnionych było łącznie 12 077 osób</w:t>
      </w:r>
      <w:r w:rsidRPr="005F7E1A">
        <w:rPr>
          <w:rStyle w:val="Odwoanieprzypisudolnego"/>
          <w:rFonts w:ascii="Times New Roman" w:hAnsi="Times New Roman" w:cs="Times New Roman"/>
        </w:rPr>
        <w:footnoteReference w:id="25"/>
      </w:r>
      <w:r w:rsidRPr="005F7E1A">
        <w:rPr>
          <w:rFonts w:ascii="Times New Roman" w:hAnsi="Times New Roman" w:cs="Times New Roman"/>
        </w:rPr>
        <w:t>, co daje średnio 17 osób bezpośrednio do organizacji jednego spotkania. Ponadto, wydarzenia odbywające się w wielkich wielofunkcyjnych halach zachęcają inwestorów do budowy nowych hoteli, a władze lokalne mobilizują do poprawy infrastruktury ogó</w:t>
      </w:r>
      <w:r w:rsidR="00A42FDF" w:rsidRPr="005F7E1A">
        <w:rPr>
          <w:rFonts w:ascii="Times New Roman" w:hAnsi="Times New Roman" w:cs="Times New Roman"/>
        </w:rPr>
        <w:t xml:space="preserve">lnej służącej także mieszkańcom, a to kolejny impuls </w:t>
      </w:r>
      <w:r w:rsidR="00221A17" w:rsidRPr="005F7E1A">
        <w:rPr>
          <w:rFonts w:ascii="Times New Roman" w:hAnsi="Times New Roman" w:cs="Times New Roman"/>
        </w:rPr>
        <w:t>do rozwoju</w:t>
      </w:r>
      <w:r w:rsidR="00A42FDF" w:rsidRPr="005F7E1A">
        <w:rPr>
          <w:rFonts w:ascii="Times New Roman" w:hAnsi="Times New Roman" w:cs="Times New Roman"/>
        </w:rPr>
        <w:t xml:space="preserve"> gospodarczego regionu.</w:t>
      </w:r>
    </w:p>
    <w:p w14:paraId="1281D68C" w14:textId="77777777" w:rsidR="00720400" w:rsidRPr="005F7E1A" w:rsidRDefault="00720400" w:rsidP="005F7E1A">
      <w:pPr>
        <w:spacing w:line="360" w:lineRule="auto"/>
        <w:rPr>
          <w:rFonts w:ascii="Times New Roman" w:hAnsi="Times New Roman" w:cs="Times New Roman"/>
        </w:rPr>
      </w:pPr>
    </w:p>
    <w:p w14:paraId="55BF8AB6" w14:textId="2F1C433D" w:rsidR="00221A17" w:rsidRPr="00536559" w:rsidRDefault="008C5D57" w:rsidP="00536559">
      <w:pPr>
        <w:spacing w:line="360" w:lineRule="auto"/>
        <w:rPr>
          <w:rFonts w:ascii="Times New Roman" w:hAnsi="Times New Roman" w:cs="Times New Roman"/>
          <w:b/>
        </w:rPr>
      </w:pPr>
      <w:r w:rsidRPr="00536559">
        <w:rPr>
          <w:rFonts w:ascii="Times New Roman" w:hAnsi="Times New Roman" w:cs="Times New Roman"/>
          <w:b/>
        </w:rPr>
        <w:t>Badania rynku spotkań konferencyjnych w Katowicach</w:t>
      </w:r>
    </w:p>
    <w:p w14:paraId="7B5C6011" w14:textId="23B5CDEB" w:rsidR="008143A0" w:rsidRPr="00425C88" w:rsidRDefault="008143A0" w:rsidP="00425C88">
      <w:pPr>
        <w:spacing w:line="360" w:lineRule="auto"/>
        <w:ind w:firstLine="708"/>
        <w:jc w:val="both"/>
        <w:rPr>
          <w:rFonts w:ascii="Times New Roman" w:hAnsi="Times New Roman" w:cs="Times New Roman"/>
          <w:color w:val="000000" w:themeColor="text1"/>
        </w:rPr>
      </w:pPr>
      <w:r w:rsidRPr="009E4F13">
        <w:rPr>
          <w:rFonts w:ascii="Times New Roman" w:hAnsi="Times New Roman" w:cs="Times New Roman"/>
        </w:rPr>
        <w:t xml:space="preserve">Od 2010 </w:t>
      </w:r>
      <w:r>
        <w:rPr>
          <w:rFonts w:ascii="Times New Roman" w:hAnsi="Times New Roman" w:cs="Times New Roman"/>
        </w:rPr>
        <w:t>roku w Katowicach prowadzone są badania rynkowe spotkań konferencyjnych i wydarzeń</w:t>
      </w:r>
      <w:r w:rsidRPr="009E4F13">
        <w:rPr>
          <w:rFonts w:ascii="Times New Roman" w:hAnsi="Times New Roman" w:cs="Times New Roman"/>
        </w:rPr>
        <w:t xml:space="preserve"> </w:t>
      </w:r>
      <w:r>
        <w:rPr>
          <w:rFonts w:ascii="Times New Roman" w:hAnsi="Times New Roman" w:cs="Times New Roman"/>
        </w:rPr>
        <w:t>biznesowych</w:t>
      </w:r>
      <w:r w:rsidRPr="009E4F13">
        <w:rPr>
          <w:rFonts w:ascii="Times New Roman" w:hAnsi="Times New Roman" w:cs="Times New Roman"/>
        </w:rPr>
        <w:t xml:space="preserve"> zrealizowan</w:t>
      </w:r>
      <w:r w:rsidR="008C15A9">
        <w:rPr>
          <w:rFonts w:ascii="Times New Roman" w:hAnsi="Times New Roman" w:cs="Times New Roman"/>
        </w:rPr>
        <w:t>ych</w:t>
      </w:r>
      <w:r w:rsidRPr="009E4F13">
        <w:rPr>
          <w:rFonts w:ascii="Times New Roman" w:hAnsi="Times New Roman" w:cs="Times New Roman"/>
        </w:rPr>
        <w:t xml:space="preserve"> w mieście. </w:t>
      </w:r>
      <w:r>
        <w:rPr>
          <w:rFonts w:ascii="Times New Roman" w:hAnsi="Times New Roman" w:cs="Times New Roman"/>
        </w:rPr>
        <w:t>W</w:t>
      </w:r>
      <w:r w:rsidR="00425C88">
        <w:rPr>
          <w:rFonts w:ascii="Times New Roman" w:hAnsi="Times New Roman" w:cs="Times New Roman"/>
        </w:rPr>
        <w:t xml:space="preserve"> latach 2012 i 2013 badaniem objęto </w:t>
      </w:r>
      <w:r w:rsidR="008C15A9">
        <w:rPr>
          <w:rFonts w:ascii="Times New Roman" w:hAnsi="Times New Roman" w:cs="Times New Roman"/>
        </w:rPr>
        <w:t xml:space="preserve">wydatki </w:t>
      </w:r>
      <w:r w:rsidR="00425C88">
        <w:rPr>
          <w:rFonts w:ascii="Times New Roman" w:hAnsi="Times New Roman" w:cs="Times New Roman"/>
        </w:rPr>
        <w:t>uczestników spotkań konferencyjnych</w:t>
      </w:r>
      <w:r w:rsidRPr="009E4F13">
        <w:rPr>
          <w:rFonts w:ascii="Times New Roman" w:hAnsi="Times New Roman" w:cs="Times New Roman"/>
        </w:rPr>
        <w:t xml:space="preserve"> </w:t>
      </w:r>
      <w:r w:rsidR="00425C88">
        <w:rPr>
          <w:rFonts w:ascii="Times New Roman" w:hAnsi="Times New Roman" w:cs="Times New Roman"/>
        </w:rPr>
        <w:t xml:space="preserve">dokonując analizy struktury i wielkości </w:t>
      </w:r>
      <w:r w:rsidR="008C15A9">
        <w:rPr>
          <w:rFonts w:ascii="Times New Roman" w:hAnsi="Times New Roman" w:cs="Times New Roman"/>
        </w:rPr>
        <w:t>tych</w:t>
      </w:r>
      <w:r w:rsidR="00425C88">
        <w:rPr>
          <w:rFonts w:ascii="Times New Roman" w:hAnsi="Times New Roman" w:cs="Times New Roman"/>
        </w:rPr>
        <w:t xml:space="preserve"> wydatków. </w:t>
      </w:r>
      <w:r>
        <w:rPr>
          <w:rFonts w:ascii="Times New Roman" w:hAnsi="Times New Roman" w:cs="Times New Roman"/>
          <w:color w:val="000000" w:themeColor="text1"/>
        </w:rPr>
        <w:t>W 2013 r. w</w:t>
      </w:r>
      <w:r w:rsidRPr="009E4F13">
        <w:rPr>
          <w:rFonts w:ascii="Times New Roman" w:hAnsi="Times New Roman" w:cs="Times New Roman"/>
          <w:color w:val="000000" w:themeColor="text1"/>
        </w:rPr>
        <w:t xml:space="preserve"> 24 obiektach w mieście łączna liczba spotkań konferencyjnych wyniosła: </w:t>
      </w:r>
      <w:r w:rsidRPr="006D0FC0">
        <w:rPr>
          <w:rFonts w:ascii="Times New Roman" w:hAnsi="Times New Roman" w:cs="Times New Roman"/>
          <w:color w:val="000000" w:themeColor="text1"/>
        </w:rPr>
        <w:t>6 033 w tym 1 013 trwało dwa dni i dłużej</w:t>
      </w:r>
      <w:r w:rsidRPr="006D0FC0">
        <w:rPr>
          <w:rFonts w:ascii="Times New Roman" w:hAnsi="Times New Roman" w:cs="Times New Roman"/>
        </w:rPr>
        <w:t xml:space="preserve">. </w:t>
      </w:r>
      <w:r w:rsidRPr="006D0FC0">
        <w:rPr>
          <w:rFonts w:ascii="Times New Roman" w:hAnsi="Times New Roman" w:cs="Times New Roman"/>
          <w:color w:val="000000" w:themeColor="text1"/>
        </w:rPr>
        <w:t xml:space="preserve">Natomiast szacunkowa liczba uczestników w </w:t>
      </w:r>
      <w:r w:rsidR="00425C88">
        <w:rPr>
          <w:rFonts w:ascii="Times New Roman" w:hAnsi="Times New Roman" w:cs="Times New Roman"/>
          <w:color w:val="000000" w:themeColor="text1"/>
        </w:rPr>
        <w:t xml:space="preserve">tych spotkaniach </w:t>
      </w:r>
      <w:r w:rsidRPr="006D0FC0">
        <w:rPr>
          <w:rFonts w:ascii="Times New Roman" w:hAnsi="Times New Roman" w:cs="Times New Roman"/>
          <w:color w:val="000000" w:themeColor="text1"/>
        </w:rPr>
        <w:t xml:space="preserve">wyniosła </w:t>
      </w:r>
      <w:r w:rsidRPr="006D0FC0">
        <w:rPr>
          <w:rFonts w:ascii="Times New Roman" w:eastAsia="Times New Roman" w:hAnsi="Times New Roman" w:cs="Times New Roman"/>
          <w:color w:val="000000" w:themeColor="text1"/>
          <w:lang w:val="cs-CZ"/>
        </w:rPr>
        <w:t xml:space="preserve">512 805 </w:t>
      </w:r>
      <w:r>
        <w:rPr>
          <w:rFonts w:ascii="Times New Roman" w:hAnsi="Times New Roman" w:cs="Times New Roman"/>
          <w:color w:val="000000" w:themeColor="text1"/>
        </w:rPr>
        <w:t>osób.</w:t>
      </w:r>
    </w:p>
    <w:p w14:paraId="21DE6CFB" w14:textId="4DD2A8B8" w:rsidR="008143A0" w:rsidRPr="009E4F13" w:rsidRDefault="008C15A9" w:rsidP="008143A0">
      <w:pPr>
        <w:spacing w:line="360" w:lineRule="auto"/>
        <w:ind w:firstLine="708"/>
        <w:jc w:val="both"/>
        <w:rPr>
          <w:rFonts w:ascii="Times New Roman" w:hAnsi="Times New Roman" w:cs="Times New Roman"/>
        </w:rPr>
      </w:pPr>
      <w:r>
        <w:rPr>
          <w:rFonts w:ascii="Times New Roman" w:hAnsi="Times New Roman" w:cs="Times New Roman"/>
        </w:rPr>
        <w:t>N</w:t>
      </w:r>
      <w:r w:rsidR="008143A0" w:rsidRPr="009E4F13">
        <w:rPr>
          <w:rFonts w:ascii="Times New Roman" w:hAnsi="Times New Roman" w:cs="Times New Roman"/>
        </w:rPr>
        <w:t xml:space="preserve">ajwięcej spotkań konferencyjnych realizowanych jest w miesiącach wiosennych (kwiecień, maj) oraz jesiennych (wrzesień i październik) – co wykazały także wyniki badań rynkowych w 2013 r. Miasto Katowice dla delegatów przyjeżdżających jest ważnym punktem na mapie spotkań konferencyjnych w Polsce. 33% z wszystkich zrealizowanych przez nich  spotkań konferencyjnych w 2013 r. miało miejsce w Katowicach. </w:t>
      </w:r>
    </w:p>
    <w:p w14:paraId="6D07A3BC" w14:textId="50BD2DC9" w:rsidR="008143A0" w:rsidRPr="009E4F13" w:rsidRDefault="008143A0" w:rsidP="008143A0">
      <w:pPr>
        <w:spacing w:line="360" w:lineRule="auto"/>
        <w:ind w:firstLine="708"/>
        <w:jc w:val="both"/>
        <w:rPr>
          <w:rFonts w:ascii="Times New Roman" w:hAnsi="Times New Roman" w:cs="Times New Roman"/>
          <w:color w:val="000000" w:themeColor="text1"/>
        </w:rPr>
      </w:pPr>
      <w:r w:rsidRPr="009E4F13">
        <w:rPr>
          <w:rFonts w:ascii="Times New Roman" w:hAnsi="Times New Roman" w:cs="Times New Roman"/>
        </w:rPr>
        <w:t xml:space="preserve">Delegaci w 2013 r. uczestniczyli średnio w </w:t>
      </w:r>
      <w:r w:rsidRPr="009E4F13">
        <w:rPr>
          <w:rFonts w:ascii="Times New Roman" w:hAnsi="Times New Roman" w:cs="Times New Roman"/>
          <w:b/>
        </w:rPr>
        <w:t>4,50</w:t>
      </w:r>
      <w:r w:rsidRPr="009E4F13">
        <w:rPr>
          <w:rFonts w:ascii="Times New Roman" w:hAnsi="Times New Roman" w:cs="Times New Roman"/>
        </w:rPr>
        <w:t xml:space="preserve"> spotkaniach konferencyjnych, w tym w Katowicach </w:t>
      </w:r>
      <w:r w:rsidRPr="009E4F13">
        <w:rPr>
          <w:rFonts w:ascii="Times New Roman" w:hAnsi="Times New Roman" w:cs="Times New Roman"/>
          <w:b/>
        </w:rPr>
        <w:t>1,47</w:t>
      </w:r>
      <w:r w:rsidRPr="009E4F13">
        <w:rPr>
          <w:rFonts w:ascii="Times New Roman" w:hAnsi="Times New Roman" w:cs="Times New Roman"/>
        </w:rPr>
        <w:t xml:space="preserve"> spotkaniach (tab. </w:t>
      </w:r>
      <w:r w:rsidR="00425C88">
        <w:rPr>
          <w:rFonts w:ascii="Times New Roman" w:hAnsi="Times New Roman" w:cs="Times New Roman"/>
        </w:rPr>
        <w:t>5</w:t>
      </w:r>
      <w:r w:rsidRPr="009E4F13">
        <w:rPr>
          <w:rFonts w:ascii="Times New Roman" w:hAnsi="Times New Roman" w:cs="Times New Roman"/>
          <w:color w:val="000000" w:themeColor="text1"/>
        </w:rPr>
        <w:t xml:space="preserve">).  </w:t>
      </w:r>
      <w:r w:rsidRPr="009E4F13">
        <w:rPr>
          <w:rFonts w:ascii="Times New Roman" w:hAnsi="Times New Roman" w:cs="Times New Roman"/>
        </w:rPr>
        <w:t>Przy czym 75 % delegatów uczestniczących w badaniu była w Katowicach w 2013 r. tylko jeden raz, 20% - od 2 do 3 razy; a 5 % - było 4 i więcej razy w Katowicach w 2013 roku.</w:t>
      </w:r>
      <w:r w:rsidRPr="009E4F13">
        <w:rPr>
          <w:rFonts w:ascii="Times New Roman" w:hAnsi="Times New Roman" w:cs="Times New Roman"/>
          <w:color w:val="000000" w:themeColor="text1"/>
        </w:rPr>
        <w:t xml:space="preserve"> </w:t>
      </w:r>
      <w:r w:rsidRPr="009E4F13">
        <w:rPr>
          <w:rFonts w:ascii="Times New Roman" w:hAnsi="Times New Roman" w:cs="Times New Roman"/>
        </w:rPr>
        <w:t>Delegaci reprezentujący firmy częściej niż pozostali uczestniczyli w spotkaniach konferencyjnych - średnia liczba spotkań w 2013 r. wyniosła 4,79 (w tym w Katowicach – 1,53).</w:t>
      </w:r>
      <w:bookmarkStart w:id="6" w:name="_Toc318071276"/>
    </w:p>
    <w:p w14:paraId="5921593C" w14:textId="04925A8E" w:rsidR="008143A0" w:rsidRPr="009E4F13" w:rsidRDefault="008143A0" w:rsidP="008143A0">
      <w:pPr>
        <w:pStyle w:val="Napis"/>
        <w:ind w:left="993" w:hanging="993"/>
        <w:jc w:val="right"/>
      </w:pPr>
      <w:bookmarkStart w:id="7" w:name="_Toc248210479"/>
      <w:r w:rsidRPr="009E4F13">
        <w:t xml:space="preserve">Tabela </w:t>
      </w:r>
      <w:r w:rsidRPr="009E4F13">
        <w:fldChar w:fldCharType="begin"/>
      </w:r>
      <w:r w:rsidRPr="009E4F13">
        <w:instrText xml:space="preserve"> SEQ Tabela \* ARABIC </w:instrText>
      </w:r>
      <w:r w:rsidRPr="009E4F13">
        <w:fldChar w:fldCharType="separate"/>
      </w:r>
      <w:r w:rsidR="00425C88">
        <w:rPr>
          <w:noProof/>
        </w:rPr>
        <w:t>5</w:t>
      </w:r>
      <w:r w:rsidRPr="009E4F13">
        <w:fldChar w:fldCharType="end"/>
      </w:r>
      <w:bookmarkEnd w:id="6"/>
      <w:r w:rsidRPr="009E4F13">
        <w:t xml:space="preserve"> </w:t>
      </w:r>
    </w:p>
    <w:p w14:paraId="6F692909" w14:textId="77777777" w:rsidR="008143A0" w:rsidRPr="009E4F13" w:rsidRDefault="008143A0" w:rsidP="008143A0">
      <w:pPr>
        <w:pStyle w:val="Napis"/>
        <w:ind w:left="993" w:hanging="993"/>
      </w:pPr>
      <w:r w:rsidRPr="009E4F13">
        <w:t>Średnia liczba spotkań konferencyjnych delegatów w 2013 r. wg rodzaju organizacji</w:t>
      </w:r>
      <w:bookmarkEnd w:id="7"/>
    </w:p>
    <w:tbl>
      <w:tblPr>
        <w:tblW w:w="7849" w:type="dxa"/>
        <w:jc w:val="center"/>
        <w:tblInd w:w="58"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0"/>
        <w:gridCol w:w="850"/>
        <w:gridCol w:w="1728"/>
        <w:gridCol w:w="2011"/>
      </w:tblGrid>
      <w:tr w:rsidR="008143A0" w:rsidRPr="009E4F13" w14:paraId="0F6C5B5D" w14:textId="77777777" w:rsidTr="008143A0">
        <w:trPr>
          <w:trHeight w:val="315"/>
          <w:jc w:val="center"/>
        </w:trPr>
        <w:tc>
          <w:tcPr>
            <w:tcW w:w="3260" w:type="dxa"/>
            <w:shd w:val="clear" w:color="auto" w:fill="auto"/>
            <w:noWrap/>
            <w:vAlign w:val="center"/>
            <w:hideMark/>
          </w:tcPr>
          <w:p w14:paraId="30584118" w14:textId="77777777" w:rsidR="008143A0" w:rsidRPr="009E4F13" w:rsidRDefault="008143A0" w:rsidP="008143A0">
            <w:pPr>
              <w:jc w:val="center"/>
              <w:rPr>
                <w:rFonts w:ascii="Times New Roman" w:eastAsia="Times New Roman" w:hAnsi="Times New Roman" w:cs="Times New Roman"/>
                <w:color w:val="000000"/>
                <w:sz w:val="20"/>
                <w:szCs w:val="20"/>
              </w:rPr>
            </w:pPr>
          </w:p>
        </w:tc>
        <w:tc>
          <w:tcPr>
            <w:tcW w:w="850" w:type="dxa"/>
            <w:shd w:val="clear" w:color="auto" w:fill="auto"/>
            <w:noWrap/>
            <w:vAlign w:val="center"/>
            <w:hideMark/>
          </w:tcPr>
          <w:p w14:paraId="44C61541" w14:textId="77777777" w:rsidR="008143A0" w:rsidRPr="009E4F13" w:rsidRDefault="008143A0" w:rsidP="008143A0">
            <w:pPr>
              <w:jc w:val="center"/>
              <w:rPr>
                <w:rFonts w:ascii="Times New Roman" w:eastAsia="Times New Roman" w:hAnsi="Times New Roman" w:cs="Times New Roman"/>
                <w:color w:val="000000"/>
                <w:sz w:val="20"/>
                <w:szCs w:val="20"/>
              </w:rPr>
            </w:pPr>
            <w:r w:rsidRPr="009E4F13">
              <w:rPr>
                <w:rFonts w:ascii="Times New Roman" w:eastAsia="Times New Roman" w:hAnsi="Times New Roman" w:cs="Times New Roman"/>
                <w:color w:val="000000"/>
                <w:sz w:val="20"/>
                <w:szCs w:val="20"/>
              </w:rPr>
              <w:t>wszyscy ogółem</w:t>
            </w:r>
          </w:p>
        </w:tc>
        <w:tc>
          <w:tcPr>
            <w:tcW w:w="1728" w:type="dxa"/>
            <w:shd w:val="clear" w:color="auto" w:fill="auto"/>
            <w:noWrap/>
            <w:vAlign w:val="center"/>
            <w:hideMark/>
          </w:tcPr>
          <w:p w14:paraId="7E2A28CA" w14:textId="77777777" w:rsidR="008143A0" w:rsidRPr="009E4F13" w:rsidRDefault="008143A0" w:rsidP="008143A0">
            <w:pPr>
              <w:jc w:val="center"/>
              <w:rPr>
                <w:rFonts w:ascii="Times New Roman" w:hAnsi="Times New Roman" w:cs="Times New Roman"/>
                <w:color w:val="000000"/>
                <w:sz w:val="20"/>
                <w:szCs w:val="20"/>
              </w:rPr>
            </w:pPr>
            <w:r w:rsidRPr="009E4F13">
              <w:rPr>
                <w:rFonts w:ascii="Times New Roman" w:hAnsi="Times New Roman" w:cs="Times New Roman"/>
                <w:color w:val="000000"/>
                <w:sz w:val="20"/>
                <w:szCs w:val="20"/>
              </w:rPr>
              <w:t>reprezentujący firmy</w:t>
            </w:r>
          </w:p>
        </w:tc>
        <w:tc>
          <w:tcPr>
            <w:tcW w:w="2011" w:type="dxa"/>
            <w:shd w:val="clear" w:color="auto" w:fill="auto"/>
            <w:noWrap/>
            <w:vAlign w:val="center"/>
            <w:hideMark/>
          </w:tcPr>
          <w:p w14:paraId="326BC6D8" w14:textId="77777777" w:rsidR="008143A0" w:rsidRPr="009E4F13" w:rsidRDefault="008143A0" w:rsidP="008143A0">
            <w:pPr>
              <w:jc w:val="center"/>
              <w:rPr>
                <w:rFonts w:ascii="Times New Roman" w:hAnsi="Times New Roman" w:cs="Times New Roman"/>
                <w:color w:val="000000"/>
                <w:sz w:val="20"/>
                <w:szCs w:val="20"/>
              </w:rPr>
            </w:pPr>
            <w:r w:rsidRPr="009E4F13">
              <w:rPr>
                <w:rFonts w:ascii="Times New Roman" w:hAnsi="Times New Roman" w:cs="Times New Roman"/>
                <w:color w:val="000000"/>
                <w:sz w:val="20"/>
                <w:szCs w:val="20"/>
              </w:rPr>
              <w:t>reprezentujący organizacje non-profit</w:t>
            </w:r>
          </w:p>
          <w:p w14:paraId="6BB810E0" w14:textId="77777777" w:rsidR="008143A0" w:rsidRPr="009E4F13" w:rsidRDefault="008143A0" w:rsidP="008143A0">
            <w:pPr>
              <w:jc w:val="center"/>
              <w:rPr>
                <w:rFonts w:ascii="Times New Roman" w:hAnsi="Times New Roman" w:cs="Times New Roman"/>
                <w:color w:val="000000"/>
                <w:sz w:val="20"/>
                <w:szCs w:val="20"/>
              </w:rPr>
            </w:pPr>
            <w:r w:rsidRPr="009E4F13">
              <w:rPr>
                <w:rFonts w:ascii="Times New Roman" w:hAnsi="Times New Roman" w:cs="Times New Roman"/>
                <w:color w:val="000000"/>
                <w:sz w:val="20"/>
                <w:szCs w:val="20"/>
              </w:rPr>
              <w:t xml:space="preserve"> i administrację</w:t>
            </w:r>
          </w:p>
        </w:tc>
      </w:tr>
      <w:tr w:rsidR="008143A0" w:rsidRPr="009E4F13" w14:paraId="29CB49CA" w14:textId="77777777" w:rsidTr="008143A0">
        <w:trPr>
          <w:trHeight w:val="315"/>
          <w:jc w:val="center"/>
        </w:trPr>
        <w:tc>
          <w:tcPr>
            <w:tcW w:w="3260" w:type="dxa"/>
            <w:shd w:val="clear" w:color="auto" w:fill="auto"/>
            <w:noWrap/>
            <w:vAlign w:val="center"/>
            <w:hideMark/>
          </w:tcPr>
          <w:p w14:paraId="4AF9A72C" w14:textId="77777777" w:rsidR="008143A0" w:rsidRPr="009E4F13" w:rsidRDefault="008143A0" w:rsidP="008143A0">
            <w:pPr>
              <w:jc w:val="right"/>
              <w:rPr>
                <w:rFonts w:ascii="Times New Roman" w:eastAsia="Times New Roman" w:hAnsi="Times New Roman" w:cs="Times New Roman"/>
                <w:color w:val="000000"/>
                <w:sz w:val="20"/>
                <w:szCs w:val="20"/>
              </w:rPr>
            </w:pPr>
            <w:r w:rsidRPr="009E4F13">
              <w:rPr>
                <w:rFonts w:ascii="Times New Roman" w:eastAsia="Times New Roman" w:hAnsi="Times New Roman" w:cs="Times New Roman"/>
                <w:color w:val="000000"/>
                <w:sz w:val="20"/>
                <w:szCs w:val="20"/>
              </w:rPr>
              <w:t>Średnia liczba spotkań ogółem</w:t>
            </w:r>
          </w:p>
        </w:tc>
        <w:tc>
          <w:tcPr>
            <w:tcW w:w="850" w:type="dxa"/>
            <w:shd w:val="clear" w:color="auto" w:fill="auto"/>
            <w:noWrap/>
            <w:vAlign w:val="center"/>
            <w:hideMark/>
          </w:tcPr>
          <w:p w14:paraId="668F1926" w14:textId="77777777" w:rsidR="008143A0" w:rsidRPr="009E4F13" w:rsidRDefault="008143A0" w:rsidP="008143A0">
            <w:pPr>
              <w:jc w:val="center"/>
              <w:rPr>
                <w:rFonts w:ascii="Times New Roman" w:eastAsia="Times New Roman" w:hAnsi="Times New Roman" w:cs="Times New Roman"/>
                <w:b/>
                <w:color w:val="000000"/>
              </w:rPr>
            </w:pPr>
            <w:r w:rsidRPr="009E4F13">
              <w:rPr>
                <w:rFonts w:ascii="Times New Roman" w:eastAsia="Times New Roman" w:hAnsi="Times New Roman" w:cs="Times New Roman"/>
                <w:b/>
                <w:color w:val="000000"/>
                <w:sz w:val="22"/>
                <w:szCs w:val="22"/>
              </w:rPr>
              <w:t>4,50</w:t>
            </w:r>
          </w:p>
        </w:tc>
        <w:tc>
          <w:tcPr>
            <w:tcW w:w="1728" w:type="dxa"/>
            <w:shd w:val="clear" w:color="auto" w:fill="auto"/>
            <w:noWrap/>
            <w:vAlign w:val="center"/>
            <w:hideMark/>
          </w:tcPr>
          <w:p w14:paraId="1AC4C2AA" w14:textId="77777777" w:rsidR="008143A0" w:rsidRPr="009E4F13" w:rsidRDefault="008143A0" w:rsidP="008143A0">
            <w:pPr>
              <w:jc w:val="center"/>
              <w:rPr>
                <w:rFonts w:ascii="Times New Roman" w:hAnsi="Times New Roman" w:cs="Times New Roman"/>
                <w:color w:val="000000"/>
              </w:rPr>
            </w:pPr>
            <w:r w:rsidRPr="009E4F13">
              <w:rPr>
                <w:rFonts w:ascii="Times New Roman" w:eastAsia="Times New Roman" w:hAnsi="Times New Roman" w:cs="Times New Roman"/>
                <w:color w:val="000000"/>
                <w:sz w:val="22"/>
                <w:szCs w:val="22"/>
              </w:rPr>
              <w:t>4,79</w:t>
            </w:r>
          </w:p>
        </w:tc>
        <w:tc>
          <w:tcPr>
            <w:tcW w:w="2011" w:type="dxa"/>
            <w:shd w:val="clear" w:color="auto" w:fill="auto"/>
            <w:noWrap/>
            <w:vAlign w:val="center"/>
            <w:hideMark/>
          </w:tcPr>
          <w:p w14:paraId="096CB0E7" w14:textId="77777777" w:rsidR="008143A0" w:rsidRPr="009E4F13" w:rsidRDefault="008143A0" w:rsidP="008143A0">
            <w:pPr>
              <w:jc w:val="center"/>
              <w:rPr>
                <w:rFonts w:ascii="Times New Roman" w:hAnsi="Times New Roman" w:cs="Times New Roman"/>
                <w:color w:val="000000"/>
              </w:rPr>
            </w:pPr>
            <w:r w:rsidRPr="009E4F13">
              <w:rPr>
                <w:rFonts w:ascii="Times New Roman" w:eastAsia="Times New Roman" w:hAnsi="Times New Roman" w:cs="Times New Roman"/>
                <w:color w:val="000000"/>
                <w:sz w:val="22"/>
                <w:szCs w:val="22"/>
              </w:rPr>
              <w:t>3,97</w:t>
            </w:r>
          </w:p>
        </w:tc>
      </w:tr>
      <w:tr w:rsidR="008143A0" w:rsidRPr="009E4F13" w14:paraId="05375AED" w14:textId="77777777" w:rsidTr="008143A0">
        <w:trPr>
          <w:trHeight w:val="315"/>
          <w:jc w:val="center"/>
        </w:trPr>
        <w:tc>
          <w:tcPr>
            <w:tcW w:w="3260" w:type="dxa"/>
            <w:shd w:val="clear" w:color="auto" w:fill="auto"/>
            <w:noWrap/>
            <w:vAlign w:val="center"/>
            <w:hideMark/>
          </w:tcPr>
          <w:p w14:paraId="76DA82E0" w14:textId="77777777" w:rsidR="008143A0" w:rsidRPr="009E4F13" w:rsidRDefault="008143A0" w:rsidP="008143A0">
            <w:pPr>
              <w:jc w:val="right"/>
              <w:rPr>
                <w:rFonts w:ascii="Times New Roman" w:eastAsia="Times New Roman" w:hAnsi="Times New Roman" w:cs="Times New Roman"/>
                <w:color w:val="000000"/>
                <w:sz w:val="20"/>
                <w:szCs w:val="20"/>
              </w:rPr>
            </w:pPr>
            <w:r w:rsidRPr="009E4F13">
              <w:rPr>
                <w:rFonts w:ascii="Times New Roman" w:eastAsia="Times New Roman" w:hAnsi="Times New Roman" w:cs="Times New Roman"/>
                <w:color w:val="000000"/>
                <w:sz w:val="20"/>
                <w:szCs w:val="20"/>
              </w:rPr>
              <w:t>Średnia liczba spotkań w Katowicach</w:t>
            </w:r>
          </w:p>
        </w:tc>
        <w:tc>
          <w:tcPr>
            <w:tcW w:w="850" w:type="dxa"/>
            <w:shd w:val="clear" w:color="auto" w:fill="auto"/>
            <w:noWrap/>
            <w:vAlign w:val="center"/>
            <w:hideMark/>
          </w:tcPr>
          <w:p w14:paraId="37DBC9EE" w14:textId="77777777" w:rsidR="008143A0" w:rsidRPr="009E4F13" w:rsidRDefault="008143A0" w:rsidP="008143A0">
            <w:pPr>
              <w:jc w:val="center"/>
              <w:rPr>
                <w:rFonts w:ascii="Times New Roman" w:eastAsia="Times New Roman" w:hAnsi="Times New Roman" w:cs="Times New Roman"/>
                <w:b/>
                <w:color w:val="000000"/>
              </w:rPr>
            </w:pPr>
            <w:r w:rsidRPr="009E4F13">
              <w:rPr>
                <w:rFonts w:ascii="Times New Roman" w:eastAsia="Times New Roman" w:hAnsi="Times New Roman" w:cs="Times New Roman"/>
                <w:b/>
                <w:color w:val="000000"/>
                <w:sz w:val="22"/>
                <w:szCs w:val="22"/>
              </w:rPr>
              <w:t>1,47</w:t>
            </w:r>
          </w:p>
        </w:tc>
        <w:tc>
          <w:tcPr>
            <w:tcW w:w="1728" w:type="dxa"/>
            <w:shd w:val="clear" w:color="auto" w:fill="auto"/>
            <w:noWrap/>
            <w:vAlign w:val="center"/>
            <w:hideMark/>
          </w:tcPr>
          <w:p w14:paraId="05DE815D" w14:textId="77777777" w:rsidR="008143A0" w:rsidRPr="009E4F13" w:rsidRDefault="008143A0" w:rsidP="008143A0">
            <w:pPr>
              <w:jc w:val="center"/>
              <w:rPr>
                <w:rFonts w:ascii="Times New Roman" w:hAnsi="Times New Roman" w:cs="Times New Roman"/>
                <w:color w:val="000000"/>
              </w:rPr>
            </w:pPr>
            <w:r w:rsidRPr="009E4F13">
              <w:rPr>
                <w:rFonts w:ascii="Times New Roman" w:eastAsia="Times New Roman" w:hAnsi="Times New Roman" w:cs="Times New Roman"/>
                <w:color w:val="000000"/>
                <w:sz w:val="22"/>
                <w:szCs w:val="22"/>
              </w:rPr>
              <w:t>1,53</w:t>
            </w:r>
          </w:p>
        </w:tc>
        <w:tc>
          <w:tcPr>
            <w:tcW w:w="2011" w:type="dxa"/>
            <w:shd w:val="clear" w:color="auto" w:fill="auto"/>
            <w:noWrap/>
            <w:vAlign w:val="center"/>
            <w:hideMark/>
          </w:tcPr>
          <w:p w14:paraId="44156E5A" w14:textId="77777777" w:rsidR="008143A0" w:rsidRPr="009E4F13" w:rsidRDefault="008143A0" w:rsidP="008143A0">
            <w:pPr>
              <w:jc w:val="center"/>
              <w:rPr>
                <w:rFonts w:ascii="Times New Roman" w:hAnsi="Times New Roman" w:cs="Times New Roman"/>
                <w:color w:val="000000"/>
              </w:rPr>
            </w:pPr>
            <w:r w:rsidRPr="009E4F13">
              <w:rPr>
                <w:rFonts w:ascii="Times New Roman" w:eastAsia="Times New Roman" w:hAnsi="Times New Roman" w:cs="Times New Roman"/>
                <w:color w:val="000000"/>
                <w:sz w:val="22"/>
                <w:szCs w:val="22"/>
              </w:rPr>
              <w:t>1,35</w:t>
            </w:r>
          </w:p>
        </w:tc>
      </w:tr>
    </w:tbl>
    <w:p w14:paraId="37A7DC9D" w14:textId="77777777" w:rsidR="008143A0" w:rsidRPr="009E4F13" w:rsidRDefault="008143A0" w:rsidP="008143A0">
      <w:pPr>
        <w:ind w:left="709" w:hanging="709"/>
        <w:jc w:val="both"/>
        <w:rPr>
          <w:rFonts w:ascii="Times New Roman" w:hAnsi="Times New Roman" w:cs="Times New Roman"/>
          <w:sz w:val="20"/>
          <w:szCs w:val="20"/>
        </w:rPr>
      </w:pPr>
    </w:p>
    <w:p w14:paraId="3DC73473" w14:textId="77777777" w:rsidR="008143A0" w:rsidRPr="009E4F13" w:rsidRDefault="008143A0" w:rsidP="008143A0">
      <w:pPr>
        <w:ind w:left="709" w:hanging="709"/>
        <w:jc w:val="both"/>
        <w:rPr>
          <w:rFonts w:ascii="Times New Roman" w:hAnsi="Times New Roman" w:cs="Times New Roman"/>
          <w:sz w:val="20"/>
          <w:szCs w:val="20"/>
        </w:rPr>
      </w:pPr>
      <w:r w:rsidRPr="009E4F13">
        <w:rPr>
          <w:rFonts w:ascii="Times New Roman" w:hAnsi="Times New Roman" w:cs="Times New Roman"/>
          <w:sz w:val="20"/>
          <w:szCs w:val="20"/>
        </w:rPr>
        <w:t xml:space="preserve">Źródło: K. Cieślikowski: </w:t>
      </w:r>
      <w:r w:rsidRPr="009E4F13">
        <w:rPr>
          <w:rFonts w:ascii="Times New Roman" w:hAnsi="Times New Roman" w:cs="Times New Roman"/>
          <w:i/>
          <w:sz w:val="20"/>
          <w:szCs w:val="20"/>
        </w:rPr>
        <w:t>Rynek turystyki biznesowej w Katowicach w 2013 roku. Badanie rynkowe uczestników spotkań konferencyjnych.</w:t>
      </w:r>
      <w:r w:rsidRPr="009E4F13">
        <w:rPr>
          <w:rFonts w:ascii="Times New Roman" w:hAnsi="Times New Roman" w:cs="Times New Roman"/>
          <w:sz w:val="20"/>
          <w:szCs w:val="20"/>
        </w:rPr>
        <w:t xml:space="preserve"> Katowice Convention Bureau, Katowice 2014</w:t>
      </w:r>
    </w:p>
    <w:p w14:paraId="48867064" w14:textId="77777777" w:rsidR="008143A0" w:rsidRPr="009E4F13" w:rsidRDefault="008143A0" w:rsidP="008143A0">
      <w:pPr>
        <w:rPr>
          <w:rFonts w:ascii="Times New Roman" w:hAnsi="Times New Roman" w:cs="Times New Roman"/>
        </w:rPr>
      </w:pPr>
    </w:p>
    <w:p w14:paraId="689299DF" w14:textId="4A3239ED" w:rsidR="008143A0" w:rsidRPr="009E4F13" w:rsidRDefault="008143A0" w:rsidP="008143A0">
      <w:pPr>
        <w:spacing w:line="360" w:lineRule="auto"/>
        <w:jc w:val="both"/>
        <w:rPr>
          <w:rFonts w:ascii="Times New Roman" w:hAnsi="Times New Roman" w:cs="Times New Roman"/>
        </w:rPr>
      </w:pPr>
      <w:r w:rsidRPr="009E4F13">
        <w:rPr>
          <w:rFonts w:ascii="Times New Roman" w:hAnsi="Times New Roman" w:cs="Times New Roman"/>
        </w:rPr>
        <w:t xml:space="preserve">73,3 % uczestniczących w badaniach delegatów zadeklarowało, iż ogólna liczba ich spotkań konferencyjnych, w których uczestniczyli w 2013 roku w porównaniu do roku poprzedniego </w:t>
      </w:r>
      <w:r w:rsidRPr="009E4F13">
        <w:rPr>
          <w:rFonts w:ascii="Times New Roman" w:hAnsi="Times New Roman" w:cs="Times New Roman"/>
          <w:b/>
        </w:rPr>
        <w:t>nie uległa zmianie.</w:t>
      </w:r>
      <w:r w:rsidRPr="009E4F13">
        <w:rPr>
          <w:rFonts w:ascii="Times New Roman" w:hAnsi="Times New Roman" w:cs="Times New Roman"/>
        </w:rPr>
        <w:t xml:space="preserve"> Przy czym 13,1 % delegatów wskazało, że liczba spotkań spadła (średni spadek o 37%). Natomiast u 13,6 % uczestników badania liczba spotkań konferencyjnych wzrosła. Średnio wzrosła </w:t>
      </w:r>
      <w:r w:rsidR="00425C88">
        <w:rPr>
          <w:rFonts w:ascii="Times New Roman" w:hAnsi="Times New Roman" w:cs="Times New Roman"/>
        </w:rPr>
        <w:t>o 51% (tab. 6</w:t>
      </w:r>
      <w:r w:rsidRPr="009E4F13">
        <w:rPr>
          <w:rFonts w:ascii="Times New Roman" w:hAnsi="Times New Roman" w:cs="Times New Roman"/>
        </w:rPr>
        <w:t>).</w:t>
      </w:r>
    </w:p>
    <w:p w14:paraId="5B25EF47" w14:textId="77777777" w:rsidR="008143A0" w:rsidRPr="009E4F13" w:rsidRDefault="008143A0" w:rsidP="008143A0">
      <w:pPr>
        <w:jc w:val="both"/>
        <w:rPr>
          <w:rFonts w:ascii="Times New Roman" w:hAnsi="Times New Roman" w:cs="Times New Roman"/>
          <w:sz w:val="10"/>
          <w:szCs w:val="10"/>
        </w:rPr>
      </w:pPr>
    </w:p>
    <w:p w14:paraId="59596CE1" w14:textId="77777777" w:rsidR="008143A0" w:rsidRPr="009E4F13" w:rsidRDefault="008143A0" w:rsidP="008143A0">
      <w:pPr>
        <w:pStyle w:val="Napis"/>
        <w:ind w:left="993" w:hanging="993"/>
        <w:jc w:val="right"/>
      </w:pPr>
      <w:bookmarkStart w:id="8" w:name="_Toc248210481"/>
      <w:r w:rsidRPr="009E4F13">
        <w:t xml:space="preserve">Tabela </w:t>
      </w:r>
      <w:r w:rsidRPr="009E4F13">
        <w:fldChar w:fldCharType="begin"/>
      </w:r>
      <w:r w:rsidRPr="009E4F13">
        <w:instrText xml:space="preserve"> SEQ Tabela \* ARABIC </w:instrText>
      </w:r>
      <w:r w:rsidRPr="009E4F13">
        <w:fldChar w:fldCharType="separate"/>
      </w:r>
      <w:r>
        <w:rPr>
          <w:noProof/>
        </w:rPr>
        <w:t>6</w:t>
      </w:r>
      <w:r w:rsidRPr="009E4F13">
        <w:fldChar w:fldCharType="end"/>
      </w:r>
      <w:r w:rsidRPr="009E4F13">
        <w:t xml:space="preserve">. </w:t>
      </w:r>
    </w:p>
    <w:p w14:paraId="56B2D7C4" w14:textId="77777777" w:rsidR="008143A0" w:rsidRPr="009E4F13" w:rsidRDefault="008143A0" w:rsidP="008143A0">
      <w:pPr>
        <w:pStyle w:val="Napis"/>
        <w:rPr>
          <w:color w:val="000000" w:themeColor="text1"/>
        </w:rPr>
      </w:pPr>
      <w:r w:rsidRPr="009E4F13">
        <w:rPr>
          <w:bCs w:val="0"/>
          <w:color w:val="000000" w:themeColor="text1"/>
        </w:rPr>
        <w:t>Trendy w aktywność delegatów na rynku spotkań konferencyjnych w 2013 r.</w:t>
      </w:r>
      <w:bookmarkEnd w:id="8"/>
    </w:p>
    <w:p w14:paraId="260C66DA" w14:textId="77777777" w:rsidR="008143A0" w:rsidRPr="009E4F13" w:rsidRDefault="008143A0" w:rsidP="008143A0">
      <w:pPr>
        <w:rPr>
          <w:rFonts w:ascii="Times New Roman" w:hAnsi="Times New Roman" w:cs="Times New Roman"/>
          <w:sz w:val="10"/>
          <w:szCs w:val="10"/>
        </w:rPr>
      </w:pPr>
    </w:p>
    <w:tbl>
      <w:tblPr>
        <w:tblW w:w="8269" w:type="dxa"/>
        <w:jc w:val="center"/>
        <w:tblInd w:w="1362"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60"/>
        <w:gridCol w:w="1753"/>
        <w:gridCol w:w="1828"/>
        <w:gridCol w:w="1828"/>
      </w:tblGrid>
      <w:tr w:rsidR="008143A0" w:rsidRPr="009E4F13" w14:paraId="025F9418" w14:textId="77777777" w:rsidTr="008143A0">
        <w:trPr>
          <w:trHeight w:val="315"/>
          <w:jc w:val="center"/>
        </w:trPr>
        <w:tc>
          <w:tcPr>
            <w:tcW w:w="2860" w:type="dxa"/>
            <w:shd w:val="clear" w:color="auto" w:fill="auto"/>
            <w:noWrap/>
            <w:vAlign w:val="center"/>
            <w:hideMark/>
          </w:tcPr>
          <w:p w14:paraId="44D27B35" w14:textId="77777777" w:rsidR="008143A0" w:rsidRPr="009E4F13" w:rsidRDefault="008143A0" w:rsidP="008143A0">
            <w:pPr>
              <w:jc w:val="center"/>
              <w:rPr>
                <w:rFonts w:ascii="Times New Roman" w:eastAsia="Times New Roman" w:hAnsi="Times New Roman" w:cs="Times New Roman"/>
                <w:color w:val="000000"/>
                <w:sz w:val="18"/>
                <w:szCs w:val="18"/>
              </w:rPr>
            </w:pPr>
          </w:p>
        </w:tc>
        <w:tc>
          <w:tcPr>
            <w:tcW w:w="1753" w:type="dxa"/>
            <w:shd w:val="clear" w:color="auto" w:fill="auto"/>
            <w:noWrap/>
            <w:vAlign w:val="center"/>
            <w:hideMark/>
          </w:tcPr>
          <w:p w14:paraId="59CD7B11" w14:textId="77777777" w:rsidR="008143A0" w:rsidRPr="009E4F13" w:rsidRDefault="008143A0" w:rsidP="008143A0">
            <w:pPr>
              <w:jc w:val="center"/>
              <w:rPr>
                <w:rFonts w:ascii="Times New Roman" w:eastAsia="Times New Roman" w:hAnsi="Times New Roman" w:cs="Times New Roman"/>
                <w:color w:val="000000"/>
                <w:sz w:val="18"/>
                <w:szCs w:val="18"/>
              </w:rPr>
            </w:pPr>
            <w:r w:rsidRPr="009E4F13">
              <w:rPr>
                <w:rFonts w:ascii="Times New Roman" w:eastAsia="Times New Roman" w:hAnsi="Times New Roman" w:cs="Times New Roman"/>
                <w:color w:val="000000"/>
                <w:sz w:val="18"/>
                <w:szCs w:val="18"/>
              </w:rPr>
              <w:t xml:space="preserve">spadek liczby </w:t>
            </w:r>
          </w:p>
          <w:p w14:paraId="3AF71AB6" w14:textId="77777777" w:rsidR="008143A0" w:rsidRPr="009E4F13" w:rsidRDefault="008143A0" w:rsidP="008143A0">
            <w:pPr>
              <w:jc w:val="center"/>
              <w:rPr>
                <w:rFonts w:ascii="Times New Roman" w:eastAsia="Times New Roman" w:hAnsi="Times New Roman" w:cs="Times New Roman"/>
                <w:color w:val="000000"/>
                <w:sz w:val="18"/>
                <w:szCs w:val="18"/>
              </w:rPr>
            </w:pPr>
            <w:r w:rsidRPr="009E4F13">
              <w:rPr>
                <w:rFonts w:ascii="Times New Roman" w:eastAsia="Times New Roman" w:hAnsi="Times New Roman" w:cs="Times New Roman"/>
                <w:color w:val="000000"/>
                <w:sz w:val="18"/>
                <w:szCs w:val="18"/>
              </w:rPr>
              <w:t xml:space="preserve">spotkań konferencyjnych </w:t>
            </w:r>
          </w:p>
        </w:tc>
        <w:tc>
          <w:tcPr>
            <w:tcW w:w="1828" w:type="dxa"/>
            <w:shd w:val="clear" w:color="auto" w:fill="auto"/>
            <w:noWrap/>
            <w:vAlign w:val="center"/>
            <w:hideMark/>
          </w:tcPr>
          <w:p w14:paraId="34C8824C" w14:textId="77777777" w:rsidR="008143A0" w:rsidRPr="009E4F13" w:rsidRDefault="008143A0" w:rsidP="008143A0">
            <w:pPr>
              <w:jc w:val="center"/>
              <w:rPr>
                <w:rFonts w:ascii="Times New Roman" w:eastAsia="Times New Roman" w:hAnsi="Times New Roman" w:cs="Times New Roman"/>
                <w:color w:val="000000"/>
                <w:sz w:val="18"/>
                <w:szCs w:val="18"/>
              </w:rPr>
            </w:pPr>
            <w:r w:rsidRPr="009E4F13">
              <w:rPr>
                <w:rFonts w:ascii="Times New Roman" w:eastAsia="Times New Roman" w:hAnsi="Times New Roman" w:cs="Times New Roman"/>
                <w:color w:val="000000"/>
                <w:sz w:val="18"/>
                <w:szCs w:val="18"/>
              </w:rPr>
              <w:t>liczba spotkań konferencyjnych pozostała bez zmian</w:t>
            </w:r>
          </w:p>
        </w:tc>
        <w:tc>
          <w:tcPr>
            <w:tcW w:w="1828" w:type="dxa"/>
            <w:shd w:val="clear" w:color="auto" w:fill="auto"/>
            <w:noWrap/>
            <w:vAlign w:val="center"/>
            <w:hideMark/>
          </w:tcPr>
          <w:p w14:paraId="0B3B70B5" w14:textId="77777777" w:rsidR="008143A0" w:rsidRPr="009E4F13" w:rsidRDefault="008143A0" w:rsidP="008143A0">
            <w:pPr>
              <w:jc w:val="center"/>
              <w:rPr>
                <w:rFonts w:ascii="Times New Roman" w:eastAsia="Times New Roman" w:hAnsi="Times New Roman" w:cs="Times New Roman"/>
                <w:color w:val="000000"/>
                <w:sz w:val="18"/>
                <w:szCs w:val="18"/>
              </w:rPr>
            </w:pPr>
            <w:r w:rsidRPr="009E4F13">
              <w:rPr>
                <w:rFonts w:ascii="Times New Roman" w:eastAsia="Times New Roman" w:hAnsi="Times New Roman" w:cs="Times New Roman"/>
                <w:color w:val="000000"/>
                <w:sz w:val="18"/>
                <w:szCs w:val="18"/>
              </w:rPr>
              <w:t>Wzrost liczby spotkań konferencyjnych</w:t>
            </w:r>
          </w:p>
        </w:tc>
      </w:tr>
      <w:tr w:rsidR="008143A0" w:rsidRPr="009E4F13" w14:paraId="41939102" w14:textId="77777777" w:rsidTr="008143A0">
        <w:trPr>
          <w:trHeight w:val="315"/>
          <w:jc w:val="center"/>
        </w:trPr>
        <w:tc>
          <w:tcPr>
            <w:tcW w:w="2860" w:type="dxa"/>
            <w:shd w:val="clear" w:color="auto" w:fill="auto"/>
            <w:noWrap/>
            <w:vAlign w:val="center"/>
            <w:hideMark/>
          </w:tcPr>
          <w:p w14:paraId="27C10302" w14:textId="77777777" w:rsidR="008143A0" w:rsidRPr="009E4F13" w:rsidRDefault="008143A0" w:rsidP="008143A0">
            <w:pPr>
              <w:jc w:val="right"/>
              <w:rPr>
                <w:rFonts w:ascii="Times New Roman" w:eastAsia="Times New Roman" w:hAnsi="Times New Roman" w:cs="Times New Roman"/>
                <w:color w:val="000000"/>
                <w:sz w:val="20"/>
                <w:szCs w:val="20"/>
              </w:rPr>
            </w:pPr>
            <w:r w:rsidRPr="009E4F13">
              <w:rPr>
                <w:rFonts w:ascii="Times New Roman" w:eastAsia="Times New Roman" w:hAnsi="Times New Roman" w:cs="Times New Roman"/>
                <w:color w:val="000000"/>
                <w:sz w:val="20"/>
                <w:szCs w:val="20"/>
              </w:rPr>
              <w:t>Odsetek wskazujących</w:t>
            </w:r>
          </w:p>
        </w:tc>
        <w:tc>
          <w:tcPr>
            <w:tcW w:w="1753" w:type="dxa"/>
            <w:shd w:val="clear" w:color="auto" w:fill="auto"/>
            <w:noWrap/>
            <w:vAlign w:val="bottom"/>
            <w:hideMark/>
          </w:tcPr>
          <w:p w14:paraId="329D369A" w14:textId="77777777" w:rsidR="008143A0" w:rsidRPr="009E4F13" w:rsidRDefault="008143A0" w:rsidP="008143A0">
            <w:pPr>
              <w:jc w:val="center"/>
              <w:rPr>
                <w:rFonts w:ascii="Times New Roman" w:hAnsi="Times New Roman" w:cs="Times New Roman"/>
                <w:color w:val="000000" w:themeColor="text1"/>
                <w:sz w:val="20"/>
                <w:szCs w:val="20"/>
              </w:rPr>
            </w:pPr>
            <w:r w:rsidRPr="009E4F13">
              <w:rPr>
                <w:rFonts w:ascii="Times New Roman" w:eastAsia="Times New Roman" w:hAnsi="Times New Roman" w:cs="Times New Roman"/>
                <w:color w:val="000000" w:themeColor="text1"/>
                <w:sz w:val="20"/>
                <w:szCs w:val="20"/>
              </w:rPr>
              <w:t>13,1%</w:t>
            </w:r>
          </w:p>
        </w:tc>
        <w:tc>
          <w:tcPr>
            <w:tcW w:w="1828" w:type="dxa"/>
            <w:shd w:val="clear" w:color="auto" w:fill="auto"/>
            <w:noWrap/>
            <w:vAlign w:val="bottom"/>
            <w:hideMark/>
          </w:tcPr>
          <w:p w14:paraId="54447861" w14:textId="77777777" w:rsidR="008143A0" w:rsidRPr="009E4F13" w:rsidRDefault="008143A0" w:rsidP="008143A0">
            <w:pPr>
              <w:jc w:val="center"/>
              <w:rPr>
                <w:rFonts w:ascii="Times New Roman" w:hAnsi="Times New Roman" w:cs="Times New Roman"/>
                <w:color w:val="000000" w:themeColor="text1"/>
                <w:sz w:val="20"/>
                <w:szCs w:val="20"/>
              </w:rPr>
            </w:pPr>
            <w:r w:rsidRPr="009E4F13">
              <w:rPr>
                <w:rFonts w:ascii="Times New Roman" w:eastAsia="Times New Roman" w:hAnsi="Times New Roman" w:cs="Times New Roman"/>
                <w:color w:val="000000" w:themeColor="text1"/>
                <w:sz w:val="20"/>
                <w:szCs w:val="20"/>
              </w:rPr>
              <w:t>73,3%</w:t>
            </w:r>
          </w:p>
        </w:tc>
        <w:tc>
          <w:tcPr>
            <w:tcW w:w="1828" w:type="dxa"/>
            <w:shd w:val="clear" w:color="auto" w:fill="auto"/>
            <w:noWrap/>
            <w:vAlign w:val="bottom"/>
            <w:hideMark/>
          </w:tcPr>
          <w:p w14:paraId="61CAF12F" w14:textId="77777777" w:rsidR="008143A0" w:rsidRPr="009E4F13" w:rsidRDefault="008143A0" w:rsidP="008143A0">
            <w:pPr>
              <w:jc w:val="center"/>
              <w:rPr>
                <w:rFonts w:ascii="Times New Roman" w:hAnsi="Times New Roman" w:cs="Times New Roman"/>
                <w:color w:val="000000" w:themeColor="text1"/>
                <w:sz w:val="20"/>
                <w:szCs w:val="20"/>
              </w:rPr>
            </w:pPr>
            <w:r w:rsidRPr="009E4F13">
              <w:rPr>
                <w:rFonts w:ascii="Times New Roman" w:eastAsia="Times New Roman" w:hAnsi="Times New Roman" w:cs="Times New Roman"/>
                <w:color w:val="000000" w:themeColor="text1"/>
                <w:sz w:val="20"/>
                <w:szCs w:val="20"/>
              </w:rPr>
              <w:t>13,6%</w:t>
            </w:r>
          </w:p>
        </w:tc>
      </w:tr>
      <w:tr w:rsidR="008143A0" w:rsidRPr="009E4F13" w14:paraId="0F56C44F" w14:textId="77777777" w:rsidTr="008143A0">
        <w:trPr>
          <w:trHeight w:val="315"/>
          <w:jc w:val="center"/>
        </w:trPr>
        <w:tc>
          <w:tcPr>
            <w:tcW w:w="2860" w:type="dxa"/>
            <w:shd w:val="clear" w:color="auto" w:fill="auto"/>
            <w:noWrap/>
            <w:vAlign w:val="center"/>
            <w:hideMark/>
          </w:tcPr>
          <w:p w14:paraId="552EDA02" w14:textId="77777777" w:rsidR="008143A0" w:rsidRPr="009E4F13" w:rsidRDefault="008143A0" w:rsidP="008143A0">
            <w:pPr>
              <w:jc w:val="right"/>
              <w:rPr>
                <w:rFonts w:ascii="Times New Roman" w:eastAsia="Times New Roman" w:hAnsi="Times New Roman" w:cs="Times New Roman"/>
                <w:color w:val="000000"/>
                <w:sz w:val="20"/>
                <w:szCs w:val="20"/>
              </w:rPr>
            </w:pPr>
            <w:r w:rsidRPr="009E4F13">
              <w:rPr>
                <w:rFonts w:ascii="Times New Roman" w:eastAsia="Times New Roman" w:hAnsi="Times New Roman" w:cs="Times New Roman"/>
                <w:color w:val="000000"/>
                <w:sz w:val="20"/>
                <w:szCs w:val="20"/>
              </w:rPr>
              <w:t>Średnia zmiana liczby spotkań konferencyjnych</w:t>
            </w:r>
          </w:p>
        </w:tc>
        <w:tc>
          <w:tcPr>
            <w:tcW w:w="1753" w:type="dxa"/>
            <w:shd w:val="clear" w:color="auto" w:fill="auto"/>
            <w:noWrap/>
            <w:vAlign w:val="center"/>
            <w:hideMark/>
          </w:tcPr>
          <w:p w14:paraId="016E683B" w14:textId="77777777" w:rsidR="008143A0" w:rsidRPr="009E4F13" w:rsidRDefault="008143A0" w:rsidP="008143A0">
            <w:pPr>
              <w:jc w:val="center"/>
              <w:rPr>
                <w:rFonts w:ascii="Times New Roman" w:hAnsi="Times New Roman" w:cs="Times New Roman"/>
                <w:color w:val="000000" w:themeColor="text1"/>
                <w:sz w:val="20"/>
                <w:szCs w:val="20"/>
              </w:rPr>
            </w:pPr>
            <w:r w:rsidRPr="009E4F13">
              <w:rPr>
                <w:rFonts w:ascii="Times New Roman" w:eastAsia="Times New Roman" w:hAnsi="Times New Roman" w:cs="Times New Roman"/>
                <w:color w:val="000000" w:themeColor="text1"/>
                <w:sz w:val="20"/>
                <w:szCs w:val="20"/>
              </w:rPr>
              <w:t>-37%</w:t>
            </w:r>
          </w:p>
        </w:tc>
        <w:tc>
          <w:tcPr>
            <w:tcW w:w="1828" w:type="dxa"/>
            <w:shd w:val="clear" w:color="auto" w:fill="auto"/>
            <w:noWrap/>
            <w:vAlign w:val="center"/>
            <w:hideMark/>
          </w:tcPr>
          <w:p w14:paraId="03A14953" w14:textId="77777777" w:rsidR="008143A0" w:rsidRPr="009E4F13" w:rsidRDefault="008143A0" w:rsidP="008143A0">
            <w:pPr>
              <w:jc w:val="center"/>
              <w:rPr>
                <w:rFonts w:ascii="Times New Roman" w:hAnsi="Times New Roman" w:cs="Times New Roman"/>
                <w:color w:val="000000" w:themeColor="text1"/>
                <w:sz w:val="20"/>
                <w:szCs w:val="20"/>
              </w:rPr>
            </w:pPr>
            <w:r w:rsidRPr="009E4F13">
              <w:rPr>
                <w:rFonts w:ascii="Times New Roman" w:eastAsia="Times New Roman" w:hAnsi="Times New Roman" w:cs="Times New Roman"/>
                <w:color w:val="000000" w:themeColor="text1"/>
                <w:sz w:val="20"/>
                <w:szCs w:val="20"/>
              </w:rPr>
              <w:t>0%</w:t>
            </w:r>
          </w:p>
        </w:tc>
        <w:tc>
          <w:tcPr>
            <w:tcW w:w="1828" w:type="dxa"/>
            <w:shd w:val="clear" w:color="auto" w:fill="auto"/>
            <w:noWrap/>
            <w:vAlign w:val="center"/>
            <w:hideMark/>
          </w:tcPr>
          <w:p w14:paraId="5D8696DF" w14:textId="77777777" w:rsidR="008143A0" w:rsidRPr="009E4F13" w:rsidRDefault="008143A0" w:rsidP="008143A0">
            <w:pPr>
              <w:jc w:val="center"/>
              <w:rPr>
                <w:rFonts w:ascii="Times New Roman" w:hAnsi="Times New Roman" w:cs="Times New Roman"/>
                <w:color w:val="000000" w:themeColor="text1"/>
                <w:sz w:val="20"/>
                <w:szCs w:val="20"/>
              </w:rPr>
            </w:pPr>
            <w:r w:rsidRPr="009E4F13">
              <w:rPr>
                <w:rFonts w:ascii="Times New Roman" w:eastAsia="Times New Roman" w:hAnsi="Times New Roman" w:cs="Times New Roman"/>
                <w:color w:val="000000" w:themeColor="text1"/>
                <w:sz w:val="20"/>
                <w:szCs w:val="20"/>
              </w:rPr>
              <w:t>51%</w:t>
            </w:r>
          </w:p>
        </w:tc>
      </w:tr>
    </w:tbl>
    <w:p w14:paraId="0EB5D661" w14:textId="77777777" w:rsidR="008143A0" w:rsidRPr="009E4F13" w:rsidRDefault="008143A0" w:rsidP="008143A0">
      <w:pPr>
        <w:ind w:left="709" w:hanging="709"/>
        <w:jc w:val="both"/>
        <w:rPr>
          <w:rFonts w:ascii="Times New Roman" w:hAnsi="Times New Roman" w:cs="Times New Roman"/>
          <w:sz w:val="20"/>
          <w:szCs w:val="20"/>
        </w:rPr>
      </w:pPr>
    </w:p>
    <w:p w14:paraId="70EE0C3F" w14:textId="77777777" w:rsidR="008143A0" w:rsidRPr="009E4F13" w:rsidRDefault="008143A0" w:rsidP="008143A0">
      <w:pPr>
        <w:ind w:left="709" w:hanging="709"/>
        <w:jc w:val="both"/>
        <w:rPr>
          <w:rFonts w:ascii="Times New Roman" w:hAnsi="Times New Roman" w:cs="Times New Roman"/>
          <w:sz w:val="20"/>
          <w:szCs w:val="20"/>
        </w:rPr>
      </w:pPr>
      <w:r w:rsidRPr="009E4F13">
        <w:rPr>
          <w:rFonts w:ascii="Times New Roman" w:hAnsi="Times New Roman" w:cs="Times New Roman"/>
          <w:sz w:val="20"/>
          <w:szCs w:val="20"/>
        </w:rPr>
        <w:t xml:space="preserve">Źródło K. Cieślikowski: </w:t>
      </w:r>
      <w:r w:rsidRPr="009E4F13">
        <w:rPr>
          <w:rFonts w:ascii="Times New Roman" w:hAnsi="Times New Roman" w:cs="Times New Roman"/>
          <w:i/>
          <w:sz w:val="20"/>
          <w:szCs w:val="20"/>
        </w:rPr>
        <w:t>Rynek turystyki biznesowej w Katowicach w 2013 roku</w:t>
      </w:r>
      <w:r>
        <w:rPr>
          <w:rFonts w:ascii="Times New Roman" w:hAnsi="Times New Roman" w:cs="Times New Roman"/>
          <w:i/>
          <w:sz w:val="20"/>
          <w:szCs w:val="20"/>
        </w:rPr>
        <w:t>. Op. cit</w:t>
      </w:r>
    </w:p>
    <w:p w14:paraId="7758B1E3" w14:textId="77777777" w:rsidR="008143A0" w:rsidRPr="009E4F13" w:rsidRDefault="008143A0" w:rsidP="008143A0">
      <w:pPr>
        <w:ind w:left="709" w:hanging="709"/>
        <w:jc w:val="both"/>
        <w:rPr>
          <w:rFonts w:ascii="Times New Roman" w:hAnsi="Times New Roman" w:cs="Times New Roman"/>
        </w:rPr>
      </w:pPr>
    </w:p>
    <w:p w14:paraId="20AD4BFA" w14:textId="77777777" w:rsidR="008143A0" w:rsidRPr="009E4F13" w:rsidRDefault="008143A0" w:rsidP="008143A0">
      <w:pPr>
        <w:spacing w:line="360" w:lineRule="auto"/>
        <w:jc w:val="both"/>
        <w:rPr>
          <w:rFonts w:ascii="Times New Roman" w:hAnsi="Times New Roman" w:cs="Times New Roman"/>
        </w:rPr>
      </w:pPr>
      <w:r w:rsidRPr="009E4F13">
        <w:rPr>
          <w:rFonts w:ascii="Times New Roman" w:hAnsi="Times New Roman" w:cs="Times New Roman"/>
        </w:rPr>
        <w:t xml:space="preserve">Najwięcej delegatów przyjeżdża na spotkania konferencyjne do Katowic samochodem osobowym – 71%. Następnie 19% uczestników dociera do Katowic koleją. Odsetek delegatów wykorzystujących samochód jako środek transportu na konferencje jest większy u reprezentujących firmy – 74,8% oraz u tych uczestników, którzy korzystają z noclegu – 72,4%. </w:t>
      </w:r>
    </w:p>
    <w:p w14:paraId="334868B3" w14:textId="77777777" w:rsidR="008143A0" w:rsidRPr="009E4F13" w:rsidRDefault="008143A0" w:rsidP="008143A0">
      <w:pPr>
        <w:pStyle w:val="Napis"/>
        <w:ind w:left="993" w:hanging="993"/>
        <w:jc w:val="right"/>
      </w:pPr>
      <w:bookmarkStart w:id="9" w:name="_Toc248210482"/>
      <w:r w:rsidRPr="009E4F13">
        <w:t xml:space="preserve">Tabela </w:t>
      </w:r>
      <w:r w:rsidRPr="009E4F13">
        <w:fldChar w:fldCharType="begin"/>
      </w:r>
      <w:r w:rsidRPr="009E4F13">
        <w:instrText xml:space="preserve"> SEQ Tabela \* ARABIC </w:instrText>
      </w:r>
      <w:r w:rsidRPr="009E4F13">
        <w:fldChar w:fldCharType="separate"/>
      </w:r>
      <w:r>
        <w:rPr>
          <w:noProof/>
        </w:rPr>
        <w:t>7</w:t>
      </w:r>
      <w:r w:rsidRPr="009E4F13">
        <w:fldChar w:fldCharType="end"/>
      </w:r>
      <w:r w:rsidRPr="009E4F13">
        <w:t xml:space="preserve">. </w:t>
      </w:r>
    </w:p>
    <w:p w14:paraId="7BE55B50" w14:textId="77777777" w:rsidR="008143A0" w:rsidRPr="009E4F13" w:rsidRDefault="008143A0" w:rsidP="008143A0">
      <w:pPr>
        <w:pStyle w:val="Napis"/>
        <w:ind w:left="851" w:hanging="851"/>
        <w:rPr>
          <w:bCs w:val="0"/>
        </w:rPr>
      </w:pPr>
      <w:r w:rsidRPr="009E4F13">
        <w:rPr>
          <w:bCs w:val="0"/>
        </w:rPr>
        <w:t>Wykorzystanie środków transportu przez różne grupy delegatów – uczestników spotkań konferencyjnych w Katowicach w 2013 r.</w:t>
      </w:r>
      <w:bookmarkEnd w:id="9"/>
    </w:p>
    <w:p w14:paraId="28ED066C" w14:textId="77777777" w:rsidR="008143A0" w:rsidRPr="009E4F13" w:rsidRDefault="008143A0" w:rsidP="008143A0">
      <w:pPr>
        <w:rPr>
          <w:rFonts w:ascii="Times New Roman" w:hAnsi="Times New Roman" w:cs="Times New Roman"/>
        </w:rPr>
      </w:pPr>
    </w:p>
    <w:p w14:paraId="281C288A" w14:textId="77777777" w:rsidR="008143A0" w:rsidRPr="009E4F13" w:rsidRDefault="008143A0" w:rsidP="008143A0">
      <w:pPr>
        <w:jc w:val="center"/>
        <w:rPr>
          <w:rFonts w:ascii="Times New Roman" w:hAnsi="Times New Roman" w:cs="Times New Roman"/>
          <w:sz w:val="8"/>
          <w:szCs w:val="8"/>
        </w:rPr>
      </w:pPr>
    </w:p>
    <w:tbl>
      <w:tblPr>
        <w:tblW w:w="9072" w:type="dxa"/>
        <w:tblInd w:w="70" w:type="dxa"/>
        <w:tblBorders>
          <w:insideH w:val="single" w:sz="4" w:space="0" w:color="auto"/>
        </w:tblBorders>
        <w:tblLayout w:type="fixed"/>
        <w:tblCellMar>
          <w:left w:w="70" w:type="dxa"/>
          <w:right w:w="70" w:type="dxa"/>
        </w:tblCellMar>
        <w:tblLook w:val="04A0" w:firstRow="1" w:lastRow="0" w:firstColumn="1" w:lastColumn="0" w:noHBand="0" w:noVBand="1"/>
      </w:tblPr>
      <w:tblGrid>
        <w:gridCol w:w="1827"/>
        <w:gridCol w:w="1008"/>
        <w:gridCol w:w="338"/>
        <w:gridCol w:w="1363"/>
        <w:gridCol w:w="1418"/>
        <w:gridCol w:w="709"/>
        <w:gridCol w:w="1134"/>
        <w:gridCol w:w="1275"/>
      </w:tblGrid>
      <w:tr w:rsidR="008143A0" w:rsidRPr="006D0FC0" w14:paraId="0A2C3CAB" w14:textId="77777777" w:rsidTr="008143A0">
        <w:trPr>
          <w:trHeight w:val="315"/>
        </w:trPr>
        <w:tc>
          <w:tcPr>
            <w:tcW w:w="1827" w:type="dxa"/>
            <w:shd w:val="clear" w:color="auto" w:fill="auto"/>
            <w:noWrap/>
            <w:vAlign w:val="center"/>
            <w:hideMark/>
          </w:tcPr>
          <w:p w14:paraId="5B4BFEA9" w14:textId="77777777" w:rsidR="008143A0" w:rsidRPr="006D0FC0" w:rsidRDefault="008143A0" w:rsidP="008143A0">
            <w:pPr>
              <w:jc w:val="right"/>
              <w:rPr>
                <w:rFonts w:ascii="Times New Roman" w:eastAsia="Times New Roman" w:hAnsi="Times New Roman" w:cs="Times New Roman"/>
                <w:color w:val="000000" w:themeColor="text1"/>
                <w:sz w:val="18"/>
                <w:szCs w:val="18"/>
              </w:rPr>
            </w:pPr>
          </w:p>
        </w:tc>
        <w:tc>
          <w:tcPr>
            <w:tcW w:w="1008" w:type="dxa"/>
            <w:shd w:val="clear" w:color="auto" w:fill="auto"/>
            <w:noWrap/>
            <w:vAlign w:val="center"/>
            <w:hideMark/>
          </w:tcPr>
          <w:p w14:paraId="0D759302" w14:textId="77777777" w:rsidR="008143A0" w:rsidRPr="006D0FC0" w:rsidRDefault="008143A0" w:rsidP="008143A0">
            <w:pPr>
              <w:jc w:val="center"/>
              <w:rPr>
                <w:rFonts w:ascii="Times New Roman" w:eastAsia="Times New Roman" w:hAnsi="Times New Roman" w:cs="Times New Roman"/>
                <w:color w:val="000000" w:themeColor="text1"/>
                <w:sz w:val="18"/>
                <w:szCs w:val="18"/>
              </w:rPr>
            </w:pPr>
            <w:r w:rsidRPr="006D0FC0">
              <w:rPr>
                <w:rFonts w:ascii="Times New Roman" w:eastAsia="Times New Roman" w:hAnsi="Times New Roman" w:cs="Times New Roman"/>
                <w:color w:val="000000" w:themeColor="text1"/>
                <w:sz w:val="18"/>
                <w:szCs w:val="18"/>
              </w:rPr>
              <w:t>Uczestnicy ogółem</w:t>
            </w:r>
          </w:p>
        </w:tc>
        <w:tc>
          <w:tcPr>
            <w:tcW w:w="338" w:type="dxa"/>
          </w:tcPr>
          <w:p w14:paraId="72955FA2" w14:textId="77777777" w:rsidR="008143A0" w:rsidRPr="006D0FC0" w:rsidRDefault="008143A0" w:rsidP="008143A0">
            <w:pPr>
              <w:jc w:val="center"/>
              <w:rPr>
                <w:rFonts w:ascii="Times New Roman" w:eastAsia="Times New Roman" w:hAnsi="Times New Roman" w:cs="Times New Roman"/>
                <w:color w:val="000000" w:themeColor="text1"/>
                <w:sz w:val="18"/>
                <w:szCs w:val="18"/>
              </w:rPr>
            </w:pPr>
          </w:p>
        </w:tc>
        <w:tc>
          <w:tcPr>
            <w:tcW w:w="1363" w:type="dxa"/>
            <w:shd w:val="clear" w:color="auto" w:fill="auto"/>
            <w:noWrap/>
            <w:vAlign w:val="center"/>
            <w:hideMark/>
          </w:tcPr>
          <w:p w14:paraId="6782B49F" w14:textId="77777777" w:rsidR="008143A0" w:rsidRPr="006D0FC0" w:rsidRDefault="008143A0" w:rsidP="008143A0">
            <w:pPr>
              <w:jc w:val="center"/>
              <w:rPr>
                <w:rFonts w:ascii="Times New Roman" w:eastAsia="Times New Roman" w:hAnsi="Times New Roman" w:cs="Times New Roman"/>
                <w:color w:val="000000" w:themeColor="text1"/>
                <w:sz w:val="18"/>
                <w:szCs w:val="18"/>
              </w:rPr>
            </w:pPr>
            <w:r w:rsidRPr="006D0FC0">
              <w:rPr>
                <w:rFonts w:ascii="Times New Roman" w:eastAsia="Times New Roman" w:hAnsi="Times New Roman" w:cs="Times New Roman"/>
                <w:color w:val="000000" w:themeColor="text1"/>
                <w:sz w:val="18"/>
                <w:szCs w:val="18"/>
              </w:rPr>
              <w:t>Uczestnicy reprezentujący firmy</w:t>
            </w:r>
          </w:p>
        </w:tc>
        <w:tc>
          <w:tcPr>
            <w:tcW w:w="1418" w:type="dxa"/>
            <w:shd w:val="clear" w:color="auto" w:fill="auto"/>
            <w:noWrap/>
            <w:vAlign w:val="center"/>
            <w:hideMark/>
          </w:tcPr>
          <w:p w14:paraId="1C5831D3" w14:textId="77777777" w:rsidR="008143A0" w:rsidRPr="006D0FC0" w:rsidRDefault="008143A0" w:rsidP="008143A0">
            <w:pPr>
              <w:jc w:val="center"/>
              <w:rPr>
                <w:rFonts w:ascii="Times New Roman" w:eastAsia="Times New Roman" w:hAnsi="Times New Roman" w:cs="Times New Roman"/>
                <w:color w:val="000000" w:themeColor="text1"/>
                <w:sz w:val="18"/>
                <w:szCs w:val="18"/>
              </w:rPr>
            </w:pPr>
            <w:r w:rsidRPr="006D0FC0">
              <w:rPr>
                <w:rFonts w:ascii="Times New Roman" w:eastAsia="Times New Roman" w:hAnsi="Times New Roman" w:cs="Times New Roman"/>
                <w:color w:val="000000" w:themeColor="text1"/>
                <w:sz w:val="18"/>
                <w:szCs w:val="18"/>
              </w:rPr>
              <w:t xml:space="preserve">Uczestnicy z org. non-profit </w:t>
            </w:r>
          </w:p>
          <w:p w14:paraId="7E7C1B01" w14:textId="77777777" w:rsidR="008143A0" w:rsidRPr="006D0FC0" w:rsidRDefault="008143A0" w:rsidP="008143A0">
            <w:pPr>
              <w:jc w:val="center"/>
              <w:rPr>
                <w:rFonts w:ascii="Times New Roman" w:eastAsia="Times New Roman" w:hAnsi="Times New Roman" w:cs="Times New Roman"/>
                <w:color w:val="000000" w:themeColor="text1"/>
                <w:sz w:val="18"/>
                <w:szCs w:val="18"/>
              </w:rPr>
            </w:pPr>
            <w:r w:rsidRPr="006D0FC0">
              <w:rPr>
                <w:rFonts w:ascii="Times New Roman" w:eastAsia="Times New Roman" w:hAnsi="Times New Roman" w:cs="Times New Roman"/>
                <w:color w:val="000000" w:themeColor="text1"/>
                <w:sz w:val="18"/>
                <w:szCs w:val="18"/>
              </w:rPr>
              <w:t>i administracja</w:t>
            </w:r>
          </w:p>
        </w:tc>
        <w:tc>
          <w:tcPr>
            <w:tcW w:w="709" w:type="dxa"/>
          </w:tcPr>
          <w:p w14:paraId="7A24EDC5" w14:textId="77777777" w:rsidR="008143A0" w:rsidRPr="006D0FC0" w:rsidRDefault="008143A0" w:rsidP="008143A0">
            <w:pPr>
              <w:jc w:val="center"/>
              <w:rPr>
                <w:rFonts w:ascii="Times New Roman" w:eastAsia="Times New Roman" w:hAnsi="Times New Roman" w:cs="Times New Roman"/>
                <w:color w:val="000000" w:themeColor="text1"/>
                <w:sz w:val="18"/>
                <w:szCs w:val="18"/>
              </w:rPr>
            </w:pPr>
          </w:p>
        </w:tc>
        <w:tc>
          <w:tcPr>
            <w:tcW w:w="1134" w:type="dxa"/>
            <w:shd w:val="clear" w:color="auto" w:fill="auto"/>
            <w:noWrap/>
            <w:vAlign w:val="center"/>
            <w:hideMark/>
          </w:tcPr>
          <w:p w14:paraId="75C29ADF" w14:textId="77777777" w:rsidR="008143A0" w:rsidRPr="006D0FC0" w:rsidRDefault="008143A0" w:rsidP="008143A0">
            <w:pPr>
              <w:jc w:val="center"/>
              <w:rPr>
                <w:rFonts w:ascii="Times New Roman" w:eastAsia="Times New Roman" w:hAnsi="Times New Roman" w:cs="Times New Roman"/>
                <w:color w:val="000000" w:themeColor="text1"/>
                <w:sz w:val="18"/>
                <w:szCs w:val="18"/>
              </w:rPr>
            </w:pPr>
            <w:r w:rsidRPr="006D0FC0">
              <w:rPr>
                <w:rFonts w:ascii="Times New Roman" w:eastAsia="Times New Roman" w:hAnsi="Times New Roman" w:cs="Times New Roman"/>
                <w:color w:val="000000" w:themeColor="text1"/>
                <w:sz w:val="18"/>
                <w:szCs w:val="18"/>
              </w:rPr>
              <w:t>Uczestnik bez noclegu</w:t>
            </w:r>
          </w:p>
        </w:tc>
        <w:tc>
          <w:tcPr>
            <w:tcW w:w="1275" w:type="dxa"/>
            <w:shd w:val="clear" w:color="auto" w:fill="auto"/>
            <w:noWrap/>
            <w:vAlign w:val="center"/>
            <w:hideMark/>
          </w:tcPr>
          <w:p w14:paraId="45BC440A" w14:textId="77777777" w:rsidR="008143A0" w:rsidRPr="006D0FC0" w:rsidRDefault="008143A0" w:rsidP="008143A0">
            <w:pPr>
              <w:jc w:val="center"/>
              <w:rPr>
                <w:rFonts w:ascii="Times New Roman" w:eastAsia="Times New Roman" w:hAnsi="Times New Roman" w:cs="Times New Roman"/>
                <w:color w:val="000000" w:themeColor="text1"/>
                <w:sz w:val="18"/>
                <w:szCs w:val="18"/>
              </w:rPr>
            </w:pPr>
            <w:r w:rsidRPr="006D0FC0">
              <w:rPr>
                <w:rFonts w:ascii="Times New Roman" w:eastAsia="Times New Roman" w:hAnsi="Times New Roman" w:cs="Times New Roman"/>
                <w:color w:val="000000" w:themeColor="text1"/>
                <w:sz w:val="18"/>
                <w:szCs w:val="18"/>
              </w:rPr>
              <w:t xml:space="preserve">Uczestnicy korzystający </w:t>
            </w:r>
          </w:p>
          <w:p w14:paraId="628B042E" w14:textId="77777777" w:rsidR="008143A0" w:rsidRPr="006D0FC0" w:rsidRDefault="008143A0" w:rsidP="008143A0">
            <w:pPr>
              <w:jc w:val="center"/>
              <w:rPr>
                <w:rFonts w:ascii="Times New Roman" w:eastAsia="Times New Roman" w:hAnsi="Times New Roman" w:cs="Times New Roman"/>
                <w:color w:val="000000" w:themeColor="text1"/>
                <w:sz w:val="18"/>
                <w:szCs w:val="18"/>
              </w:rPr>
            </w:pPr>
            <w:r w:rsidRPr="006D0FC0">
              <w:rPr>
                <w:rFonts w:ascii="Times New Roman" w:eastAsia="Times New Roman" w:hAnsi="Times New Roman" w:cs="Times New Roman"/>
                <w:color w:val="000000" w:themeColor="text1"/>
                <w:sz w:val="18"/>
                <w:szCs w:val="18"/>
              </w:rPr>
              <w:t>z noclegu</w:t>
            </w:r>
          </w:p>
        </w:tc>
      </w:tr>
      <w:tr w:rsidR="008143A0" w:rsidRPr="006D0FC0" w14:paraId="476E8FB4" w14:textId="77777777" w:rsidTr="008143A0">
        <w:trPr>
          <w:trHeight w:val="315"/>
        </w:trPr>
        <w:tc>
          <w:tcPr>
            <w:tcW w:w="1827" w:type="dxa"/>
            <w:shd w:val="clear" w:color="auto" w:fill="auto"/>
            <w:noWrap/>
            <w:vAlign w:val="center"/>
            <w:hideMark/>
          </w:tcPr>
          <w:p w14:paraId="5E202B6F" w14:textId="77777777" w:rsidR="008143A0" w:rsidRPr="006D0FC0" w:rsidRDefault="008143A0" w:rsidP="008143A0">
            <w:pPr>
              <w:jc w:val="right"/>
              <w:rPr>
                <w:rFonts w:ascii="Times New Roman" w:eastAsia="Times New Roman" w:hAnsi="Times New Roman" w:cs="Times New Roman"/>
                <w:color w:val="000000" w:themeColor="text1"/>
                <w:sz w:val="18"/>
                <w:szCs w:val="18"/>
              </w:rPr>
            </w:pPr>
            <w:r w:rsidRPr="006D0FC0">
              <w:rPr>
                <w:rFonts w:ascii="Times New Roman" w:eastAsia="Times New Roman" w:hAnsi="Times New Roman" w:cs="Times New Roman"/>
                <w:color w:val="000000" w:themeColor="text1"/>
                <w:sz w:val="18"/>
                <w:szCs w:val="18"/>
              </w:rPr>
              <w:t>osobowy samochód</w:t>
            </w:r>
          </w:p>
        </w:tc>
        <w:tc>
          <w:tcPr>
            <w:tcW w:w="1008" w:type="dxa"/>
            <w:shd w:val="clear" w:color="auto" w:fill="auto"/>
            <w:noWrap/>
            <w:vAlign w:val="bottom"/>
            <w:hideMark/>
          </w:tcPr>
          <w:p w14:paraId="132F2DD3" w14:textId="77777777" w:rsidR="008143A0" w:rsidRPr="006D0FC0" w:rsidRDefault="008143A0" w:rsidP="008143A0">
            <w:pPr>
              <w:jc w:val="center"/>
              <w:rPr>
                <w:rFonts w:ascii="Times New Roman" w:eastAsia="Times New Roman" w:hAnsi="Times New Roman" w:cs="Times New Roman"/>
                <w:color w:val="000000" w:themeColor="text1"/>
                <w:sz w:val="20"/>
                <w:szCs w:val="20"/>
              </w:rPr>
            </w:pPr>
            <w:r w:rsidRPr="006D0FC0">
              <w:rPr>
                <w:rFonts w:ascii="Times New Roman" w:eastAsia="Times New Roman" w:hAnsi="Times New Roman" w:cs="Times New Roman"/>
                <w:color w:val="000000" w:themeColor="text1"/>
                <w:sz w:val="20"/>
                <w:szCs w:val="20"/>
              </w:rPr>
              <w:t>70,7%</w:t>
            </w:r>
          </w:p>
        </w:tc>
        <w:tc>
          <w:tcPr>
            <w:tcW w:w="338" w:type="dxa"/>
          </w:tcPr>
          <w:p w14:paraId="13FDABBB" w14:textId="77777777" w:rsidR="008143A0" w:rsidRPr="006D0FC0" w:rsidRDefault="008143A0" w:rsidP="008143A0">
            <w:pPr>
              <w:jc w:val="center"/>
              <w:rPr>
                <w:rFonts w:ascii="Times New Roman" w:eastAsia="Times New Roman" w:hAnsi="Times New Roman" w:cs="Times New Roman"/>
                <w:color w:val="000000" w:themeColor="text1"/>
                <w:sz w:val="20"/>
                <w:szCs w:val="20"/>
              </w:rPr>
            </w:pPr>
          </w:p>
        </w:tc>
        <w:tc>
          <w:tcPr>
            <w:tcW w:w="1363" w:type="dxa"/>
            <w:shd w:val="clear" w:color="auto" w:fill="auto"/>
            <w:noWrap/>
            <w:vAlign w:val="bottom"/>
            <w:hideMark/>
          </w:tcPr>
          <w:p w14:paraId="05B1E1A1" w14:textId="77777777" w:rsidR="008143A0" w:rsidRPr="006D0FC0" w:rsidRDefault="008143A0" w:rsidP="008143A0">
            <w:pPr>
              <w:jc w:val="center"/>
              <w:rPr>
                <w:rFonts w:ascii="Times New Roman" w:eastAsia="Times New Roman" w:hAnsi="Times New Roman" w:cs="Times New Roman"/>
                <w:color w:val="000000" w:themeColor="text1"/>
                <w:sz w:val="20"/>
                <w:szCs w:val="20"/>
              </w:rPr>
            </w:pPr>
            <w:r w:rsidRPr="006D0FC0">
              <w:rPr>
                <w:rFonts w:ascii="Times New Roman" w:eastAsia="Times New Roman" w:hAnsi="Times New Roman" w:cs="Times New Roman"/>
                <w:color w:val="000000" w:themeColor="text1"/>
                <w:sz w:val="20"/>
                <w:szCs w:val="20"/>
              </w:rPr>
              <w:t>74,8%</w:t>
            </w:r>
          </w:p>
        </w:tc>
        <w:tc>
          <w:tcPr>
            <w:tcW w:w="1418" w:type="dxa"/>
            <w:shd w:val="clear" w:color="auto" w:fill="auto"/>
            <w:noWrap/>
            <w:vAlign w:val="bottom"/>
            <w:hideMark/>
          </w:tcPr>
          <w:p w14:paraId="142995EA" w14:textId="77777777" w:rsidR="008143A0" w:rsidRPr="006D0FC0" w:rsidRDefault="008143A0" w:rsidP="008143A0">
            <w:pPr>
              <w:jc w:val="center"/>
              <w:rPr>
                <w:rFonts w:ascii="Times New Roman" w:eastAsia="Times New Roman" w:hAnsi="Times New Roman" w:cs="Times New Roman"/>
                <w:color w:val="000000" w:themeColor="text1"/>
                <w:sz w:val="20"/>
                <w:szCs w:val="20"/>
              </w:rPr>
            </w:pPr>
            <w:r w:rsidRPr="006D0FC0">
              <w:rPr>
                <w:rFonts w:ascii="Times New Roman" w:eastAsia="Times New Roman" w:hAnsi="Times New Roman" w:cs="Times New Roman"/>
                <w:color w:val="000000" w:themeColor="text1"/>
                <w:sz w:val="20"/>
                <w:szCs w:val="20"/>
              </w:rPr>
              <w:t>63,3%</w:t>
            </w:r>
          </w:p>
        </w:tc>
        <w:tc>
          <w:tcPr>
            <w:tcW w:w="709" w:type="dxa"/>
          </w:tcPr>
          <w:p w14:paraId="1A68DCDF" w14:textId="77777777" w:rsidR="008143A0" w:rsidRPr="006D0FC0" w:rsidRDefault="008143A0" w:rsidP="008143A0">
            <w:pPr>
              <w:jc w:val="center"/>
              <w:rPr>
                <w:rFonts w:ascii="Times New Roman" w:eastAsia="Times New Roman" w:hAnsi="Times New Roman" w:cs="Times New Roman"/>
                <w:color w:val="000000" w:themeColor="text1"/>
                <w:sz w:val="20"/>
                <w:szCs w:val="20"/>
              </w:rPr>
            </w:pPr>
          </w:p>
        </w:tc>
        <w:tc>
          <w:tcPr>
            <w:tcW w:w="1134" w:type="dxa"/>
            <w:shd w:val="clear" w:color="auto" w:fill="auto"/>
            <w:noWrap/>
            <w:vAlign w:val="bottom"/>
            <w:hideMark/>
          </w:tcPr>
          <w:p w14:paraId="43EE0697" w14:textId="77777777" w:rsidR="008143A0" w:rsidRPr="006D0FC0" w:rsidRDefault="008143A0" w:rsidP="008143A0">
            <w:pPr>
              <w:jc w:val="center"/>
              <w:rPr>
                <w:rFonts w:ascii="Times New Roman" w:eastAsia="Times New Roman" w:hAnsi="Times New Roman" w:cs="Times New Roman"/>
                <w:color w:val="000000" w:themeColor="text1"/>
                <w:sz w:val="20"/>
                <w:szCs w:val="20"/>
              </w:rPr>
            </w:pPr>
            <w:r w:rsidRPr="006D0FC0">
              <w:rPr>
                <w:rFonts w:ascii="Times New Roman" w:eastAsia="Times New Roman" w:hAnsi="Times New Roman" w:cs="Times New Roman"/>
                <w:color w:val="000000" w:themeColor="text1"/>
                <w:sz w:val="20"/>
                <w:szCs w:val="20"/>
              </w:rPr>
              <w:t>70,1%</w:t>
            </w:r>
          </w:p>
        </w:tc>
        <w:tc>
          <w:tcPr>
            <w:tcW w:w="1275" w:type="dxa"/>
            <w:shd w:val="clear" w:color="auto" w:fill="auto"/>
            <w:noWrap/>
            <w:vAlign w:val="bottom"/>
            <w:hideMark/>
          </w:tcPr>
          <w:p w14:paraId="1D7FB5CF" w14:textId="77777777" w:rsidR="008143A0" w:rsidRPr="006D0FC0" w:rsidRDefault="008143A0" w:rsidP="008143A0">
            <w:pPr>
              <w:jc w:val="center"/>
              <w:rPr>
                <w:rFonts w:ascii="Times New Roman" w:eastAsia="Times New Roman" w:hAnsi="Times New Roman" w:cs="Times New Roman"/>
                <w:color w:val="000000" w:themeColor="text1"/>
                <w:sz w:val="20"/>
                <w:szCs w:val="20"/>
              </w:rPr>
            </w:pPr>
            <w:r w:rsidRPr="006D0FC0">
              <w:rPr>
                <w:rFonts w:ascii="Times New Roman" w:eastAsia="Times New Roman" w:hAnsi="Times New Roman" w:cs="Times New Roman"/>
                <w:color w:val="000000" w:themeColor="text1"/>
                <w:sz w:val="20"/>
                <w:szCs w:val="20"/>
              </w:rPr>
              <w:t>72,4%</w:t>
            </w:r>
          </w:p>
        </w:tc>
      </w:tr>
      <w:tr w:rsidR="008143A0" w:rsidRPr="006D0FC0" w14:paraId="51FF0A13" w14:textId="77777777" w:rsidTr="008143A0">
        <w:trPr>
          <w:trHeight w:val="315"/>
        </w:trPr>
        <w:tc>
          <w:tcPr>
            <w:tcW w:w="1827" w:type="dxa"/>
            <w:shd w:val="clear" w:color="auto" w:fill="auto"/>
            <w:noWrap/>
            <w:vAlign w:val="center"/>
            <w:hideMark/>
          </w:tcPr>
          <w:p w14:paraId="778BCD7F" w14:textId="77777777" w:rsidR="008143A0" w:rsidRPr="006D0FC0" w:rsidRDefault="008143A0" w:rsidP="008143A0">
            <w:pPr>
              <w:jc w:val="right"/>
              <w:rPr>
                <w:rFonts w:ascii="Times New Roman" w:eastAsia="Times New Roman" w:hAnsi="Times New Roman" w:cs="Times New Roman"/>
                <w:color w:val="000000" w:themeColor="text1"/>
                <w:sz w:val="18"/>
                <w:szCs w:val="18"/>
              </w:rPr>
            </w:pPr>
            <w:r w:rsidRPr="006D0FC0">
              <w:rPr>
                <w:rFonts w:ascii="Times New Roman" w:eastAsia="Times New Roman" w:hAnsi="Times New Roman" w:cs="Times New Roman"/>
                <w:color w:val="000000" w:themeColor="text1"/>
                <w:sz w:val="18"/>
                <w:szCs w:val="18"/>
              </w:rPr>
              <w:t>kolej</w:t>
            </w:r>
          </w:p>
        </w:tc>
        <w:tc>
          <w:tcPr>
            <w:tcW w:w="1008" w:type="dxa"/>
            <w:shd w:val="clear" w:color="auto" w:fill="auto"/>
            <w:noWrap/>
            <w:vAlign w:val="bottom"/>
            <w:hideMark/>
          </w:tcPr>
          <w:p w14:paraId="49576A90" w14:textId="77777777" w:rsidR="008143A0" w:rsidRPr="006D0FC0" w:rsidRDefault="008143A0" w:rsidP="008143A0">
            <w:pPr>
              <w:jc w:val="center"/>
              <w:rPr>
                <w:rFonts w:ascii="Times New Roman" w:eastAsia="Times New Roman" w:hAnsi="Times New Roman" w:cs="Times New Roman"/>
                <w:color w:val="000000" w:themeColor="text1"/>
                <w:sz w:val="20"/>
                <w:szCs w:val="20"/>
              </w:rPr>
            </w:pPr>
            <w:r w:rsidRPr="006D0FC0">
              <w:rPr>
                <w:rFonts w:ascii="Times New Roman" w:eastAsia="Times New Roman" w:hAnsi="Times New Roman" w:cs="Times New Roman"/>
                <w:color w:val="000000" w:themeColor="text1"/>
                <w:sz w:val="20"/>
                <w:szCs w:val="20"/>
              </w:rPr>
              <w:t>18,9%</w:t>
            </w:r>
          </w:p>
        </w:tc>
        <w:tc>
          <w:tcPr>
            <w:tcW w:w="338" w:type="dxa"/>
          </w:tcPr>
          <w:p w14:paraId="399FDFAB" w14:textId="77777777" w:rsidR="008143A0" w:rsidRPr="006D0FC0" w:rsidRDefault="008143A0" w:rsidP="008143A0">
            <w:pPr>
              <w:jc w:val="center"/>
              <w:rPr>
                <w:rFonts w:ascii="Times New Roman" w:eastAsia="Times New Roman" w:hAnsi="Times New Roman" w:cs="Times New Roman"/>
                <w:color w:val="000000" w:themeColor="text1"/>
                <w:sz w:val="20"/>
                <w:szCs w:val="20"/>
              </w:rPr>
            </w:pPr>
          </w:p>
        </w:tc>
        <w:tc>
          <w:tcPr>
            <w:tcW w:w="1363" w:type="dxa"/>
            <w:shd w:val="clear" w:color="auto" w:fill="auto"/>
            <w:noWrap/>
            <w:vAlign w:val="bottom"/>
            <w:hideMark/>
          </w:tcPr>
          <w:p w14:paraId="4554764B" w14:textId="77777777" w:rsidR="008143A0" w:rsidRPr="006D0FC0" w:rsidRDefault="008143A0" w:rsidP="008143A0">
            <w:pPr>
              <w:jc w:val="center"/>
              <w:rPr>
                <w:rFonts w:ascii="Times New Roman" w:eastAsia="Times New Roman" w:hAnsi="Times New Roman" w:cs="Times New Roman"/>
                <w:color w:val="000000" w:themeColor="text1"/>
                <w:sz w:val="20"/>
                <w:szCs w:val="20"/>
              </w:rPr>
            </w:pPr>
            <w:r w:rsidRPr="006D0FC0">
              <w:rPr>
                <w:rFonts w:ascii="Times New Roman" w:eastAsia="Times New Roman" w:hAnsi="Times New Roman" w:cs="Times New Roman"/>
                <w:color w:val="000000" w:themeColor="text1"/>
                <w:sz w:val="20"/>
                <w:szCs w:val="20"/>
              </w:rPr>
              <w:t>15,4%</w:t>
            </w:r>
          </w:p>
        </w:tc>
        <w:tc>
          <w:tcPr>
            <w:tcW w:w="1418" w:type="dxa"/>
            <w:shd w:val="clear" w:color="auto" w:fill="auto"/>
            <w:noWrap/>
            <w:vAlign w:val="bottom"/>
            <w:hideMark/>
          </w:tcPr>
          <w:p w14:paraId="544AE68C" w14:textId="77777777" w:rsidR="008143A0" w:rsidRPr="006D0FC0" w:rsidRDefault="008143A0" w:rsidP="008143A0">
            <w:pPr>
              <w:jc w:val="center"/>
              <w:rPr>
                <w:rFonts w:ascii="Times New Roman" w:eastAsia="Times New Roman" w:hAnsi="Times New Roman" w:cs="Times New Roman"/>
                <w:color w:val="000000" w:themeColor="text1"/>
                <w:sz w:val="20"/>
                <w:szCs w:val="20"/>
              </w:rPr>
            </w:pPr>
            <w:r w:rsidRPr="006D0FC0">
              <w:rPr>
                <w:rFonts w:ascii="Times New Roman" w:eastAsia="Times New Roman" w:hAnsi="Times New Roman" w:cs="Times New Roman"/>
                <w:color w:val="000000" w:themeColor="text1"/>
                <w:sz w:val="20"/>
                <w:szCs w:val="20"/>
              </w:rPr>
              <w:t>25,3%</w:t>
            </w:r>
          </w:p>
        </w:tc>
        <w:tc>
          <w:tcPr>
            <w:tcW w:w="709" w:type="dxa"/>
          </w:tcPr>
          <w:p w14:paraId="587B77C1" w14:textId="77777777" w:rsidR="008143A0" w:rsidRPr="006D0FC0" w:rsidRDefault="008143A0" w:rsidP="008143A0">
            <w:pPr>
              <w:jc w:val="center"/>
              <w:rPr>
                <w:rFonts w:ascii="Times New Roman" w:eastAsia="Times New Roman" w:hAnsi="Times New Roman" w:cs="Times New Roman"/>
                <w:color w:val="000000" w:themeColor="text1"/>
                <w:sz w:val="20"/>
                <w:szCs w:val="20"/>
              </w:rPr>
            </w:pPr>
          </w:p>
        </w:tc>
        <w:tc>
          <w:tcPr>
            <w:tcW w:w="1134" w:type="dxa"/>
            <w:shd w:val="clear" w:color="auto" w:fill="auto"/>
            <w:noWrap/>
            <w:vAlign w:val="bottom"/>
            <w:hideMark/>
          </w:tcPr>
          <w:p w14:paraId="13ADFA5D" w14:textId="77777777" w:rsidR="008143A0" w:rsidRPr="006D0FC0" w:rsidRDefault="008143A0" w:rsidP="008143A0">
            <w:pPr>
              <w:jc w:val="center"/>
              <w:rPr>
                <w:rFonts w:ascii="Times New Roman" w:eastAsia="Times New Roman" w:hAnsi="Times New Roman" w:cs="Times New Roman"/>
                <w:color w:val="000000" w:themeColor="text1"/>
                <w:sz w:val="20"/>
                <w:szCs w:val="20"/>
              </w:rPr>
            </w:pPr>
            <w:r w:rsidRPr="006D0FC0">
              <w:rPr>
                <w:rFonts w:ascii="Times New Roman" w:eastAsia="Times New Roman" w:hAnsi="Times New Roman" w:cs="Times New Roman"/>
                <w:color w:val="000000" w:themeColor="text1"/>
                <w:sz w:val="20"/>
                <w:szCs w:val="20"/>
              </w:rPr>
              <w:t>18,3%</w:t>
            </w:r>
          </w:p>
        </w:tc>
        <w:tc>
          <w:tcPr>
            <w:tcW w:w="1275" w:type="dxa"/>
            <w:shd w:val="clear" w:color="auto" w:fill="auto"/>
            <w:noWrap/>
            <w:vAlign w:val="bottom"/>
            <w:hideMark/>
          </w:tcPr>
          <w:p w14:paraId="146A6DB2" w14:textId="77777777" w:rsidR="008143A0" w:rsidRPr="006D0FC0" w:rsidRDefault="008143A0" w:rsidP="008143A0">
            <w:pPr>
              <w:jc w:val="center"/>
              <w:rPr>
                <w:rFonts w:ascii="Times New Roman" w:eastAsia="Times New Roman" w:hAnsi="Times New Roman" w:cs="Times New Roman"/>
                <w:color w:val="000000" w:themeColor="text1"/>
                <w:sz w:val="20"/>
                <w:szCs w:val="20"/>
              </w:rPr>
            </w:pPr>
            <w:r w:rsidRPr="006D0FC0">
              <w:rPr>
                <w:rFonts w:ascii="Times New Roman" w:eastAsia="Times New Roman" w:hAnsi="Times New Roman" w:cs="Times New Roman"/>
                <w:color w:val="000000" w:themeColor="text1"/>
                <w:sz w:val="20"/>
                <w:szCs w:val="20"/>
              </w:rPr>
              <w:t>20,7%</w:t>
            </w:r>
          </w:p>
        </w:tc>
      </w:tr>
      <w:tr w:rsidR="008143A0" w:rsidRPr="006D0FC0" w14:paraId="5721DEB2" w14:textId="77777777" w:rsidTr="008143A0">
        <w:trPr>
          <w:trHeight w:val="315"/>
        </w:trPr>
        <w:tc>
          <w:tcPr>
            <w:tcW w:w="1827" w:type="dxa"/>
            <w:shd w:val="clear" w:color="auto" w:fill="auto"/>
            <w:noWrap/>
            <w:vAlign w:val="center"/>
            <w:hideMark/>
          </w:tcPr>
          <w:p w14:paraId="40324E86" w14:textId="77777777" w:rsidR="008143A0" w:rsidRPr="006D0FC0" w:rsidRDefault="008143A0" w:rsidP="008143A0">
            <w:pPr>
              <w:jc w:val="right"/>
              <w:rPr>
                <w:rFonts w:ascii="Times New Roman" w:eastAsia="Times New Roman" w:hAnsi="Times New Roman" w:cs="Times New Roman"/>
                <w:color w:val="000000" w:themeColor="text1"/>
                <w:sz w:val="18"/>
                <w:szCs w:val="18"/>
              </w:rPr>
            </w:pPr>
            <w:r w:rsidRPr="006D0FC0">
              <w:rPr>
                <w:rFonts w:ascii="Times New Roman" w:eastAsia="Times New Roman" w:hAnsi="Times New Roman" w:cs="Times New Roman"/>
                <w:color w:val="000000" w:themeColor="text1"/>
                <w:sz w:val="18"/>
                <w:szCs w:val="18"/>
              </w:rPr>
              <w:t>samolot</w:t>
            </w:r>
          </w:p>
        </w:tc>
        <w:tc>
          <w:tcPr>
            <w:tcW w:w="1008" w:type="dxa"/>
            <w:shd w:val="clear" w:color="auto" w:fill="auto"/>
            <w:noWrap/>
            <w:vAlign w:val="bottom"/>
            <w:hideMark/>
          </w:tcPr>
          <w:p w14:paraId="64FB396D" w14:textId="77777777" w:rsidR="008143A0" w:rsidRPr="006D0FC0" w:rsidRDefault="008143A0" w:rsidP="008143A0">
            <w:pPr>
              <w:jc w:val="center"/>
              <w:rPr>
                <w:rFonts w:ascii="Times New Roman" w:eastAsia="Times New Roman" w:hAnsi="Times New Roman" w:cs="Times New Roman"/>
                <w:color w:val="000000" w:themeColor="text1"/>
                <w:sz w:val="20"/>
                <w:szCs w:val="20"/>
              </w:rPr>
            </w:pPr>
            <w:r w:rsidRPr="006D0FC0">
              <w:rPr>
                <w:rFonts w:ascii="Times New Roman" w:eastAsia="Times New Roman" w:hAnsi="Times New Roman" w:cs="Times New Roman"/>
                <w:color w:val="000000" w:themeColor="text1"/>
                <w:sz w:val="20"/>
                <w:szCs w:val="20"/>
              </w:rPr>
              <w:t>0,9%</w:t>
            </w:r>
          </w:p>
        </w:tc>
        <w:tc>
          <w:tcPr>
            <w:tcW w:w="338" w:type="dxa"/>
          </w:tcPr>
          <w:p w14:paraId="14D70722" w14:textId="77777777" w:rsidR="008143A0" w:rsidRPr="006D0FC0" w:rsidRDefault="008143A0" w:rsidP="008143A0">
            <w:pPr>
              <w:jc w:val="center"/>
              <w:rPr>
                <w:rFonts w:ascii="Times New Roman" w:eastAsia="Times New Roman" w:hAnsi="Times New Roman" w:cs="Times New Roman"/>
                <w:color w:val="000000" w:themeColor="text1"/>
                <w:sz w:val="20"/>
                <w:szCs w:val="20"/>
              </w:rPr>
            </w:pPr>
          </w:p>
        </w:tc>
        <w:tc>
          <w:tcPr>
            <w:tcW w:w="1363" w:type="dxa"/>
            <w:shd w:val="clear" w:color="auto" w:fill="auto"/>
            <w:noWrap/>
            <w:vAlign w:val="bottom"/>
            <w:hideMark/>
          </w:tcPr>
          <w:p w14:paraId="1839527C" w14:textId="77777777" w:rsidR="008143A0" w:rsidRPr="006D0FC0" w:rsidRDefault="008143A0" w:rsidP="008143A0">
            <w:pPr>
              <w:jc w:val="center"/>
              <w:rPr>
                <w:rFonts w:ascii="Times New Roman" w:eastAsia="Times New Roman" w:hAnsi="Times New Roman" w:cs="Times New Roman"/>
                <w:color w:val="000000" w:themeColor="text1"/>
                <w:sz w:val="20"/>
                <w:szCs w:val="20"/>
              </w:rPr>
            </w:pPr>
            <w:r w:rsidRPr="006D0FC0">
              <w:rPr>
                <w:rFonts w:ascii="Times New Roman" w:eastAsia="Times New Roman" w:hAnsi="Times New Roman" w:cs="Times New Roman"/>
                <w:color w:val="000000" w:themeColor="text1"/>
                <w:sz w:val="20"/>
                <w:szCs w:val="20"/>
              </w:rPr>
              <w:t>1,4%</w:t>
            </w:r>
          </w:p>
        </w:tc>
        <w:tc>
          <w:tcPr>
            <w:tcW w:w="1418" w:type="dxa"/>
            <w:shd w:val="clear" w:color="auto" w:fill="auto"/>
            <w:noWrap/>
            <w:vAlign w:val="bottom"/>
            <w:hideMark/>
          </w:tcPr>
          <w:p w14:paraId="6A1E1C30" w14:textId="77777777" w:rsidR="008143A0" w:rsidRPr="006D0FC0" w:rsidRDefault="008143A0" w:rsidP="008143A0">
            <w:pPr>
              <w:jc w:val="center"/>
              <w:rPr>
                <w:rFonts w:ascii="Times New Roman" w:eastAsia="Times New Roman" w:hAnsi="Times New Roman" w:cs="Times New Roman"/>
                <w:color w:val="000000" w:themeColor="text1"/>
                <w:sz w:val="20"/>
                <w:szCs w:val="20"/>
              </w:rPr>
            </w:pPr>
            <w:r w:rsidRPr="006D0FC0">
              <w:rPr>
                <w:rFonts w:ascii="Times New Roman" w:eastAsia="Times New Roman" w:hAnsi="Times New Roman" w:cs="Times New Roman"/>
                <w:color w:val="000000" w:themeColor="text1"/>
                <w:sz w:val="20"/>
                <w:szCs w:val="20"/>
              </w:rPr>
              <w:t>0,0%</w:t>
            </w:r>
          </w:p>
        </w:tc>
        <w:tc>
          <w:tcPr>
            <w:tcW w:w="709" w:type="dxa"/>
          </w:tcPr>
          <w:p w14:paraId="202C3FAC" w14:textId="77777777" w:rsidR="008143A0" w:rsidRPr="006D0FC0" w:rsidRDefault="008143A0" w:rsidP="008143A0">
            <w:pPr>
              <w:jc w:val="center"/>
              <w:rPr>
                <w:rFonts w:ascii="Times New Roman" w:eastAsia="Times New Roman" w:hAnsi="Times New Roman" w:cs="Times New Roman"/>
                <w:color w:val="000000" w:themeColor="text1"/>
                <w:sz w:val="20"/>
                <w:szCs w:val="20"/>
              </w:rPr>
            </w:pPr>
          </w:p>
        </w:tc>
        <w:tc>
          <w:tcPr>
            <w:tcW w:w="1134" w:type="dxa"/>
            <w:shd w:val="clear" w:color="auto" w:fill="auto"/>
            <w:noWrap/>
            <w:vAlign w:val="bottom"/>
            <w:hideMark/>
          </w:tcPr>
          <w:p w14:paraId="5C9361FB" w14:textId="77777777" w:rsidR="008143A0" w:rsidRPr="006D0FC0" w:rsidRDefault="008143A0" w:rsidP="008143A0">
            <w:pPr>
              <w:jc w:val="center"/>
              <w:rPr>
                <w:rFonts w:ascii="Times New Roman" w:eastAsia="Times New Roman" w:hAnsi="Times New Roman" w:cs="Times New Roman"/>
                <w:color w:val="000000" w:themeColor="text1"/>
                <w:sz w:val="20"/>
                <w:szCs w:val="20"/>
              </w:rPr>
            </w:pPr>
            <w:r w:rsidRPr="006D0FC0">
              <w:rPr>
                <w:rFonts w:ascii="Times New Roman" w:eastAsia="Times New Roman" w:hAnsi="Times New Roman" w:cs="Times New Roman"/>
                <w:color w:val="000000" w:themeColor="text1"/>
                <w:sz w:val="20"/>
                <w:szCs w:val="20"/>
              </w:rPr>
              <w:t>1,2%</w:t>
            </w:r>
          </w:p>
        </w:tc>
        <w:tc>
          <w:tcPr>
            <w:tcW w:w="1275" w:type="dxa"/>
            <w:shd w:val="clear" w:color="auto" w:fill="auto"/>
            <w:noWrap/>
            <w:vAlign w:val="bottom"/>
            <w:hideMark/>
          </w:tcPr>
          <w:p w14:paraId="1D22B260" w14:textId="77777777" w:rsidR="008143A0" w:rsidRPr="006D0FC0" w:rsidRDefault="008143A0" w:rsidP="008143A0">
            <w:pPr>
              <w:jc w:val="center"/>
              <w:rPr>
                <w:rFonts w:ascii="Times New Roman" w:eastAsia="Times New Roman" w:hAnsi="Times New Roman" w:cs="Times New Roman"/>
                <w:color w:val="000000" w:themeColor="text1"/>
                <w:sz w:val="20"/>
                <w:szCs w:val="20"/>
              </w:rPr>
            </w:pPr>
            <w:r w:rsidRPr="006D0FC0">
              <w:rPr>
                <w:rFonts w:ascii="Times New Roman" w:eastAsia="Times New Roman" w:hAnsi="Times New Roman" w:cs="Times New Roman"/>
                <w:color w:val="000000" w:themeColor="text1"/>
                <w:sz w:val="20"/>
                <w:szCs w:val="20"/>
              </w:rPr>
              <w:t>0,0%</w:t>
            </w:r>
          </w:p>
        </w:tc>
      </w:tr>
      <w:tr w:rsidR="008143A0" w:rsidRPr="006D0FC0" w14:paraId="017CC721" w14:textId="77777777" w:rsidTr="008143A0">
        <w:trPr>
          <w:trHeight w:val="315"/>
        </w:trPr>
        <w:tc>
          <w:tcPr>
            <w:tcW w:w="1827" w:type="dxa"/>
            <w:shd w:val="clear" w:color="auto" w:fill="auto"/>
            <w:noWrap/>
            <w:vAlign w:val="center"/>
            <w:hideMark/>
          </w:tcPr>
          <w:p w14:paraId="496939FD" w14:textId="77777777" w:rsidR="008143A0" w:rsidRPr="006D0FC0" w:rsidRDefault="008143A0" w:rsidP="008143A0">
            <w:pPr>
              <w:jc w:val="right"/>
              <w:rPr>
                <w:rFonts w:ascii="Times New Roman" w:eastAsia="Times New Roman" w:hAnsi="Times New Roman" w:cs="Times New Roman"/>
                <w:color w:val="000000" w:themeColor="text1"/>
                <w:sz w:val="18"/>
                <w:szCs w:val="18"/>
              </w:rPr>
            </w:pPr>
            <w:r w:rsidRPr="006D0FC0">
              <w:rPr>
                <w:rFonts w:ascii="Times New Roman" w:eastAsia="Times New Roman" w:hAnsi="Times New Roman" w:cs="Times New Roman"/>
                <w:color w:val="000000" w:themeColor="text1"/>
                <w:sz w:val="18"/>
                <w:szCs w:val="18"/>
              </w:rPr>
              <w:t>autobus dalekobieżny</w:t>
            </w:r>
          </w:p>
        </w:tc>
        <w:tc>
          <w:tcPr>
            <w:tcW w:w="1008" w:type="dxa"/>
            <w:shd w:val="clear" w:color="auto" w:fill="auto"/>
            <w:noWrap/>
            <w:vAlign w:val="bottom"/>
            <w:hideMark/>
          </w:tcPr>
          <w:p w14:paraId="64E28B41" w14:textId="77777777" w:rsidR="008143A0" w:rsidRPr="006D0FC0" w:rsidRDefault="008143A0" w:rsidP="008143A0">
            <w:pPr>
              <w:jc w:val="center"/>
              <w:rPr>
                <w:rFonts w:ascii="Times New Roman" w:eastAsia="Times New Roman" w:hAnsi="Times New Roman" w:cs="Times New Roman"/>
                <w:color w:val="000000" w:themeColor="text1"/>
                <w:sz w:val="20"/>
                <w:szCs w:val="20"/>
              </w:rPr>
            </w:pPr>
            <w:r w:rsidRPr="006D0FC0">
              <w:rPr>
                <w:rFonts w:ascii="Times New Roman" w:eastAsia="Times New Roman" w:hAnsi="Times New Roman" w:cs="Times New Roman"/>
                <w:color w:val="000000" w:themeColor="text1"/>
                <w:sz w:val="20"/>
                <w:szCs w:val="20"/>
              </w:rPr>
              <w:t>5,9%</w:t>
            </w:r>
          </w:p>
        </w:tc>
        <w:tc>
          <w:tcPr>
            <w:tcW w:w="338" w:type="dxa"/>
          </w:tcPr>
          <w:p w14:paraId="62052F7A" w14:textId="77777777" w:rsidR="008143A0" w:rsidRPr="006D0FC0" w:rsidRDefault="008143A0" w:rsidP="008143A0">
            <w:pPr>
              <w:jc w:val="center"/>
              <w:rPr>
                <w:rFonts w:ascii="Times New Roman" w:eastAsia="Times New Roman" w:hAnsi="Times New Roman" w:cs="Times New Roman"/>
                <w:color w:val="000000" w:themeColor="text1"/>
                <w:sz w:val="20"/>
                <w:szCs w:val="20"/>
              </w:rPr>
            </w:pPr>
          </w:p>
        </w:tc>
        <w:tc>
          <w:tcPr>
            <w:tcW w:w="1363" w:type="dxa"/>
            <w:shd w:val="clear" w:color="auto" w:fill="auto"/>
            <w:noWrap/>
            <w:vAlign w:val="bottom"/>
            <w:hideMark/>
          </w:tcPr>
          <w:p w14:paraId="7BFB469D" w14:textId="77777777" w:rsidR="008143A0" w:rsidRPr="006D0FC0" w:rsidRDefault="008143A0" w:rsidP="008143A0">
            <w:pPr>
              <w:jc w:val="center"/>
              <w:rPr>
                <w:rFonts w:ascii="Times New Roman" w:eastAsia="Times New Roman" w:hAnsi="Times New Roman" w:cs="Times New Roman"/>
                <w:color w:val="000000" w:themeColor="text1"/>
                <w:sz w:val="20"/>
                <w:szCs w:val="20"/>
              </w:rPr>
            </w:pPr>
            <w:r w:rsidRPr="006D0FC0">
              <w:rPr>
                <w:rFonts w:ascii="Times New Roman" w:eastAsia="Times New Roman" w:hAnsi="Times New Roman" w:cs="Times New Roman"/>
                <w:color w:val="000000" w:themeColor="text1"/>
                <w:sz w:val="20"/>
                <w:szCs w:val="20"/>
              </w:rPr>
              <w:t>3,5%</w:t>
            </w:r>
          </w:p>
        </w:tc>
        <w:tc>
          <w:tcPr>
            <w:tcW w:w="1418" w:type="dxa"/>
            <w:shd w:val="clear" w:color="auto" w:fill="auto"/>
            <w:noWrap/>
            <w:vAlign w:val="bottom"/>
            <w:hideMark/>
          </w:tcPr>
          <w:p w14:paraId="71D0F96E" w14:textId="77777777" w:rsidR="008143A0" w:rsidRPr="006D0FC0" w:rsidRDefault="008143A0" w:rsidP="008143A0">
            <w:pPr>
              <w:jc w:val="center"/>
              <w:rPr>
                <w:rFonts w:ascii="Times New Roman" w:eastAsia="Times New Roman" w:hAnsi="Times New Roman" w:cs="Times New Roman"/>
                <w:color w:val="000000" w:themeColor="text1"/>
                <w:sz w:val="20"/>
                <w:szCs w:val="20"/>
              </w:rPr>
            </w:pPr>
            <w:r w:rsidRPr="006D0FC0">
              <w:rPr>
                <w:rFonts w:ascii="Times New Roman" w:eastAsia="Times New Roman" w:hAnsi="Times New Roman" w:cs="Times New Roman"/>
                <w:color w:val="000000" w:themeColor="text1"/>
                <w:sz w:val="20"/>
                <w:szCs w:val="20"/>
              </w:rPr>
              <w:t>10,1%</w:t>
            </w:r>
          </w:p>
        </w:tc>
        <w:tc>
          <w:tcPr>
            <w:tcW w:w="709" w:type="dxa"/>
          </w:tcPr>
          <w:p w14:paraId="78FDEFA9" w14:textId="77777777" w:rsidR="008143A0" w:rsidRPr="006D0FC0" w:rsidRDefault="008143A0" w:rsidP="008143A0">
            <w:pPr>
              <w:jc w:val="center"/>
              <w:rPr>
                <w:rFonts w:ascii="Times New Roman" w:eastAsia="Times New Roman" w:hAnsi="Times New Roman" w:cs="Times New Roman"/>
                <w:color w:val="000000" w:themeColor="text1"/>
                <w:sz w:val="20"/>
                <w:szCs w:val="20"/>
              </w:rPr>
            </w:pPr>
          </w:p>
        </w:tc>
        <w:tc>
          <w:tcPr>
            <w:tcW w:w="1134" w:type="dxa"/>
            <w:shd w:val="clear" w:color="auto" w:fill="auto"/>
            <w:noWrap/>
            <w:vAlign w:val="bottom"/>
            <w:hideMark/>
          </w:tcPr>
          <w:p w14:paraId="40E02C97" w14:textId="77777777" w:rsidR="008143A0" w:rsidRPr="006D0FC0" w:rsidRDefault="008143A0" w:rsidP="008143A0">
            <w:pPr>
              <w:jc w:val="center"/>
              <w:rPr>
                <w:rFonts w:ascii="Times New Roman" w:eastAsia="Times New Roman" w:hAnsi="Times New Roman" w:cs="Times New Roman"/>
                <w:color w:val="000000" w:themeColor="text1"/>
                <w:sz w:val="20"/>
                <w:szCs w:val="20"/>
              </w:rPr>
            </w:pPr>
            <w:r w:rsidRPr="006D0FC0">
              <w:rPr>
                <w:rFonts w:ascii="Times New Roman" w:eastAsia="Times New Roman" w:hAnsi="Times New Roman" w:cs="Times New Roman"/>
                <w:color w:val="000000" w:themeColor="text1"/>
                <w:sz w:val="20"/>
                <w:szCs w:val="20"/>
              </w:rPr>
              <w:t>6,1%</w:t>
            </w:r>
          </w:p>
        </w:tc>
        <w:tc>
          <w:tcPr>
            <w:tcW w:w="1275" w:type="dxa"/>
            <w:shd w:val="clear" w:color="auto" w:fill="auto"/>
            <w:noWrap/>
            <w:vAlign w:val="bottom"/>
            <w:hideMark/>
          </w:tcPr>
          <w:p w14:paraId="731B82FB" w14:textId="77777777" w:rsidR="008143A0" w:rsidRPr="006D0FC0" w:rsidRDefault="008143A0" w:rsidP="008143A0">
            <w:pPr>
              <w:jc w:val="center"/>
              <w:rPr>
                <w:rFonts w:ascii="Times New Roman" w:eastAsia="Times New Roman" w:hAnsi="Times New Roman" w:cs="Times New Roman"/>
                <w:color w:val="000000" w:themeColor="text1"/>
                <w:sz w:val="20"/>
                <w:szCs w:val="20"/>
              </w:rPr>
            </w:pPr>
            <w:r w:rsidRPr="006D0FC0">
              <w:rPr>
                <w:rFonts w:ascii="Times New Roman" w:eastAsia="Times New Roman" w:hAnsi="Times New Roman" w:cs="Times New Roman"/>
                <w:color w:val="000000" w:themeColor="text1"/>
                <w:sz w:val="20"/>
                <w:szCs w:val="20"/>
              </w:rPr>
              <w:t>5,2%</w:t>
            </w:r>
          </w:p>
        </w:tc>
      </w:tr>
      <w:tr w:rsidR="008143A0" w:rsidRPr="006D0FC0" w14:paraId="1B05199D" w14:textId="77777777" w:rsidTr="008143A0">
        <w:trPr>
          <w:trHeight w:val="315"/>
        </w:trPr>
        <w:tc>
          <w:tcPr>
            <w:tcW w:w="1827" w:type="dxa"/>
            <w:shd w:val="clear" w:color="auto" w:fill="auto"/>
            <w:noWrap/>
            <w:vAlign w:val="center"/>
            <w:hideMark/>
          </w:tcPr>
          <w:p w14:paraId="2AEFFEDA" w14:textId="77777777" w:rsidR="008143A0" w:rsidRPr="006D0FC0" w:rsidRDefault="008143A0" w:rsidP="008143A0">
            <w:pPr>
              <w:jc w:val="right"/>
              <w:rPr>
                <w:rFonts w:ascii="Times New Roman" w:eastAsia="Times New Roman" w:hAnsi="Times New Roman" w:cs="Times New Roman"/>
                <w:color w:val="000000" w:themeColor="text1"/>
                <w:sz w:val="18"/>
                <w:szCs w:val="18"/>
              </w:rPr>
            </w:pPr>
            <w:r w:rsidRPr="006D0FC0">
              <w:rPr>
                <w:rFonts w:ascii="Times New Roman" w:eastAsia="Times New Roman" w:hAnsi="Times New Roman" w:cs="Times New Roman"/>
                <w:color w:val="000000" w:themeColor="text1"/>
                <w:sz w:val="18"/>
                <w:szCs w:val="18"/>
              </w:rPr>
              <w:t>komunikacja miejska</w:t>
            </w:r>
          </w:p>
        </w:tc>
        <w:tc>
          <w:tcPr>
            <w:tcW w:w="1008" w:type="dxa"/>
            <w:shd w:val="clear" w:color="auto" w:fill="auto"/>
            <w:noWrap/>
            <w:vAlign w:val="bottom"/>
            <w:hideMark/>
          </w:tcPr>
          <w:p w14:paraId="5410BE12" w14:textId="77777777" w:rsidR="008143A0" w:rsidRPr="006D0FC0" w:rsidRDefault="008143A0" w:rsidP="008143A0">
            <w:pPr>
              <w:jc w:val="center"/>
              <w:rPr>
                <w:rFonts w:ascii="Times New Roman" w:eastAsia="Times New Roman" w:hAnsi="Times New Roman" w:cs="Times New Roman"/>
                <w:color w:val="000000" w:themeColor="text1"/>
                <w:sz w:val="20"/>
                <w:szCs w:val="20"/>
              </w:rPr>
            </w:pPr>
            <w:r w:rsidRPr="006D0FC0">
              <w:rPr>
                <w:rFonts w:ascii="Times New Roman" w:eastAsia="Times New Roman" w:hAnsi="Times New Roman" w:cs="Times New Roman"/>
                <w:color w:val="000000" w:themeColor="text1"/>
                <w:sz w:val="20"/>
                <w:szCs w:val="20"/>
              </w:rPr>
              <w:t>2,7%</w:t>
            </w:r>
          </w:p>
        </w:tc>
        <w:tc>
          <w:tcPr>
            <w:tcW w:w="338" w:type="dxa"/>
          </w:tcPr>
          <w:p w14:paraId="2158ABD2" w14:textId="77777777" w:rsidR="008143A0" w:rsidRPr="006D0FC0" w:rsidRDefault="008143A0" w:rsidP="008143A0">
            <w:pPr>
              <w:jc w:val="center"/>
              <w:rPr>
                <w:rFonts w:ascii="Times New Roman" w:eastAsia="Times New Roman" w:hAnsi="Times New Roman" w:cs="Times New Roman"/>
                <w:color w:val="000000" w:themeColor="text1"/>
                <w:sz w:val="20"/>
                <w:szCs w:val="20"/>
              </w:rPr>
            </w:pPr>
          </w:p>
        </w:tc>
        <w:tc>
          <w:tcPr>
            <w:tcW w:w="1363" w:type="dxa"/>
            <w:shd w:val="clear" w:color="auto" w:fill="auto"/>
            <w:noWrap/>
            <w:vAlign w:val="bottom"/>
            <w:hideMark/>
          </w:tcPr>
          <w:p w14:paraId="61C4490A" w14:textId="77777777" w:rsidR="008143A0" w:rsidRPr="006D0FC0" w:rsidRDefault="008143A0" w:rsidP="008143A0">
            <w:pPr>
              <w:jc w:val="center"/>
              <w:rPr>
                <w:rFonts w:ascii="Times New Roman" w:eastAsia="Times New Roman" w:hAnsi="Times New Roman" w:cs="Times New Roman"/>
                <w:color w:val="000000" w:themeColor="text1"/>
                <w:sz w:val="20"/>
                <w:szCs w:val="20"/>
              </w:rPr>
            </w:pPr>
            <w:r w:rsidRPr="006D0FC0">
              <w:rPr>
                <w:rFonts w:ascii="Times New Roman" w:eastAsia="Times New Roman" w:hAnsi="Times New Roman" w:cs="Times New Roman"/>
                <w:color w:val="000000" w:themeColor="text1"/>
                <w:sz w:val="20"/>
                <w:szCs w:val="20"/>
              </w:rPr>
              <w:t>3,5%</w:t>
            </w:r>
          </w:p>
        </w:tc>
        <w:tc>
          <w:tcPr>
            <w:tcW w:w="1418" w:type="dxa"/>
            <w:shd w:val="clear" w:color="auto" w:fill="auto"/>
            <w:noWrap/>
            <w:vAlign w:val="bottom"/>
            <w:hideMark/>
          </w:tcPr>
          <w:p w14:paraId="4232F5DA" w14:textId="77777777" w:rsidR="008143A0" w:rsidRPr="006D0FC0" w:rsidRDefault="008143A0" w:rsidP="008143A0">
            <w:pPr>
              <w:jc w:val="center"/>
              <w:rPr>
                <w:rFonts w:ascii="Times New Roman" w:eastAsia="Times New Roman" w:hAnsi="Times New Roman" w:cs="Times New Roman"/>
                <w:color w:val="000000" w:themeColor="text1"/>
                <w:sz w:val="20"/>
                <w:szCs w:val="20"/>
              </w:rPr>
            </w:pPr>
            <w:r w:rsidRPr="006D0FC0">
              <w:rPr>
                <w:rFonts w:ascii="Times New Roman" w:eastAsia="Times New Roman" w:hAnsi="Times New Roman" w:cs="Times New Roman"/>
                <w:color w:val="000000" w:themeColor="text1"/>
                <w:sz w:val="20"/>
                <w:szCs w:val="20"/>
              </w:rPr>
              <w:t>1,3%</w:t>
            </w:r>
          </w:p>
        </w:tc>
        <w:tc>
          <w:tcPr>
            <w:tcW w:w="709" w:type="dxa"/>
          </w:tcPr>
          <w:p w14:paraId="380E7148" w14:textId="77777777" w:rsidR="008143A0" w:rsidRPr="006D0FC0" w:rsidRDefault="008143A0" w:rsidP="008143A0">
            <w:pPr>
              <w:jc w:val="center"/>
              <w:rPr>
                <w:rFonts w:ascii="Times New Roman" w:eastAsia="Times New Roman" w:hAnsi="Times New Roman" w:cs="Times New Roman"/>
                <w:color w:val="000000" w:themeColor="text1"/>
                <w:sz w:val="20"/>
                <w:szCs w:val="20"/>
              </w:rPr>
            </w:pPr>
          </w:p>
        </w:tc>
        <w:tc>
          <w:tcPr>
            <w:tcW w:w="1134" w:type="dxa"/>
            <w:shd w:val="clear" w:color="auto" w:fill="auto"/>
            <w:noWrap/>
            <w:vAlign w:val="bottom"/>
            <w:hideMark/>
          </w:tcPr>
          <w:p w14:paraId="1D1C9CC4" w14:textId="77777777" w:rsidR="008143A0" w:rsidRPr="006D0FC0" w:rsidRDefault="008143A0" w:rsidP="008143A0">
            <w:pPr>
              <w:jc w:val="center"/>
              <w:rPr>
                <w:rFonts w:ascii="Times New Roman" w:eastAsia="Times New Roman" w:hAnsi="Times New Roman" w:cs="Times New Roman"/>
                <w:color w:val="000000" w:themeColor="text1"/>
                <w:sz w:val="20"/>
                <w:szCs w:val="20"/>
              </w:rPr>
            </w:pPr>
            <w:r w:rsidRPr="006D0FC0">
              <w:rPr>
                <w:rFonts w:ascii="Times New Roman" w:eastAsia="Times New Roman" w:hAnsi="Times New Roman" w:cs="Times New Roman"/>
                <w:color w:val="000000" w:themeColor="text1"/>
                <w:sz w:val="20"/>
                <w:szCs w:val="20"/>
              </w:rPr>
              <w:t>3,7%</w:t>
            </w:r>
          </w:p>
        </w:tc>
        <w:tc>
          <w:tcPr>
            <w:tcW w:w="1275" w:type="dxa"/>
            <w:shd w:val="clear" w:color="auto" w:fill="auto"/>
            <w:noWrap/>
            <w:vAlign w:val="bottom"/>
            <w:hideMark/>
          </w:tcPr>
          <w:p w14:paraId="6DB6DB39" w14:textId="77777777" w:rsidR="008143A0" w:rsidRPr="006D0FC0" w:rsidRDefault="008143A0" w:rsidP="008143A0">
            <w:pPr>
              <w:jc w:val="center"/>
              <w:rPr>
                <w:rFonts w:ascii="Times New Roman" w:eastAsia="Times New Roman" w:hAnsi="Times New Roman" w:cs="Times New Roman"/>
                <w:color w:val="000000" w:themeColor="text1"/>
                <w:sz w:val="20"/>
                <w:szCs w:val="20"/>
              </w:rPr>
            </w:pPr>
            <w:r w:rsidRPr="006D0FC0">
              <w:rPr>
                <w:rFonts w:ascii="Times New Roman" w:eastAsia="Times New Roman" w:hAnsi="Times New Roman" w:cs="Times New Roman"/>
                <w:color w:val="000000" w:themeColor="text1"/>
                <w:sz w:val="20"/>
                <w:szCs w:val="20"/>
              </w:rPr>
              <w:t>0,0%</w:t>
            </w:r>
          </w:p>
        </w:tc>
      </w:tr>
      <w:tr w:rsidR="008143A0" w:rsidRPr="006D0FC0" w14:paraId="167A9652" w14:textId="77777777" w:rsidTr="008143A0">
        <w:trPr>
          <w:trHeight w:val="315"/>
        </w:trPr>
        <w:tc>
          <w:tcPr>
            <w:tcW w:w="1827" w:type="dxa"/>
            <w:shd w:val="clear" w:color="auto" w:fill="auto"/>
            <w:noWrap/>
            <w:vAlign w:val="center"/>
            <w:hideMark/>
          </w:tcPr>
          <w:p w14:paraId="2DB451E9" w14:textId="77777777" w:rsidR="008143A0" w:rsidRPr="006D0FC0" w:rsidRDefault="008143A0" w:rsidP="008143A0">
            <w:pPr>
              <w:jc w:val="right"/>
              <w:rPr>
                <w:rFonts w:ascii="Times New Roman" w:eastAsia="Times New Roman" w:hAnsi="Times New Roman" w:cs="Times New Roman"/>
                <w:color w:val="000000" w:themeColor="text1"/>
                <w:sz w:val="18"/>
                <w:szCs w:val="18"/>
              </w:rPr>
            </w:pPr>
            <w:r w:rsidRPr="006D0FC0">
              <w:rPr>
                <w:rFonts w:ascii="Times New Roman" w:eastAsia="Times New Roman" w:hAnsi="Times New Roman" w:cs="Times New Roman"/>
                <w:color w:val="000000" w:themeColor="text1"/>
                <w:sz w:val="18"/>
                <w:szCs w:val="18"/>
              </w:rPr>
              <w:t>TAXI</w:t>
            </w:r>
          </w:p>
        </w:tc>
        <w:tc>
          <w:tcPr>
            <w:tcW w:w="1008" w:type="dxa"/>
            <w:shd w:val="clear" w:color="auto" w:fill="auto"/>
            <w:noWrap/>
            <w:vAlign w:val="bottom"/>
            <w:hideMark/>
          </w:tcPr>
          <w:p w14:paraId="79B7221F" w14:textId="77777777" w:rsidR="008143A0" w:rsidRPr="006D0FC0" w:rsidRDefault="008143A0" w:rsidP="008143A0">
            <w:pPr>
              <w:jc w:val="center"/>
              <w:rPr>
                <w:rFonts w:ascii="Times New Roman" w:eastAsia="Times New Roman" w:hAnsi="Times New Roman" w:cs="Times New Roman"/>
                <w:color w:val="000000" w:themeColor="text1"/>
                <w:sz w:val="20"/>
                <w:szCs w:val="20"/>
              </w:rPr>
            </w:pPr>
            <w:r w:rsidRPr="006D0FC0">
              <w:rPr>
                <w:rFonts w:ascii="Times New Roman" w:eastAsia="Times New Roman" w:hAnsi="Times New Roman" w:cs="Times New Roman"/>
                <w:color w:val="000000" w:themeColor="text1"/>
                <w:sz w:val="20"/>
                <w:szCs w:val="20"/>
              </w:rPr>
              <w:t>0,9%</w:t>
            </w:r>
          </w:p>
        </w:tc>
        <w:tc>
          <w:tcPr>
            <w:tcW w:w="338" w:type="dxa"/>
          </w:tcPr>
          <w:p w14:paraId="01A4EE3C" w14:textId="77777777" w:rsidR="008143A0" w:rsidRPr="006D0FC0" w:rsidRDefault="008143A0" w:rsidP="008143A0">
            <w:pPr>
              <w:jc w:val="center"/>
              <w:rPr>
                <w:rFonts w:ascii="Times New Roman" w:eastAsia="Times New Roman" w:hAnsi="Times New Roman" w:cs="Times New Roman"/>
                <w:color w:val="000000" w:themeColor="text1"/>
                <w:sz w:val="20"/>
                <w:szCs w:val="20"/>
              </w:rPr>
            </w:pPr>
          </w:p>
        </w:tc>
        <w:tc>
          <w:tcPr>
            <w:tcW w:w="1363" w:type="dxa"/>
            <w:shd w:val="clear" w:color="auto" w:fill="auto"/>
            <w:noWrap/>
            <w:vAlign w:val="bottom"/>
            <w:hideMark/>
          </w:tcPr>
          <w:p w14:paraId="2F5427B9" w14:textId="77777777" w:rsidR="008143A0" w:rsidRPr="006D0FC0" w:rsidRDefault="008143A0" w:rsidP="008143A0">
            <w:pPr>
              <w:jc w:val="center"/>
              <w:rPr>
                <w:rFonts w:ascii="Times New Roman" w:eastAsia="Times New Roman" w:hAnsi="Times New Roman" w:cs="Times New Roman"/>
                <w:color w:val="000000" w:themeColor="text1"/>
                <w:sz w:val="20"/>
                <w:szCs w:val="20"/>
              </w:rPr>
            </w:pPr>
            <w:r w:rsidRPr="006D0FC0">
              <w:rPr>
                <w:rFonts w:ascii="Times New Roman" w:eastAsia="Times New Roman" w:hAnsi="Times New Roman" w:cs="Times New Roman"/>
                <w:color w:val="000000" w:themeColor="text1"/>
                <w:sz w:val="20"/>
                <w:szCs w:val="20"/>
              </w:rPr>
              <w:t>1,4%</w:t>
            </w:r>
          </w:p>
        </w:tc>
        <w:tc>
          <w:tcPr>
            <w:tcW w:w="1418" w:type="dxa"/>
            <w:shd w:val="clear" w:color="auto" w:fill="auto"/>
            <w:noWrap/>
            <w:vAlign w:val="bottom"/>
            <w:hideMark/>
          </w:tcPr>
          <w:p w14:paraId="4A84B954" w14:textId="77777777" w:rsidR="008143A0" w:rsidRPr="006D0FC0" w:rsidRDefault="008143A0" w:rsidP="008143A0">
            <w:pPr>
              <w:jc w:val="center"/>
              <w:rPr>
                <w:rFonts w:ascii="Times New Roman" w:eastAsia="Times New Roman" w:hAnsi="Times New Roman" w:cs="Times New Roman"/>
                <w:color w:val="000000" w:themeColor="text1"/>
                <w:sz w:val="20"/>
                <w:szCs w:val="20"/>
              </w:rPr>
            </w:pPr>
            <w:r w:rsidRPr="006D0FC0">
              <w:rPr>
                <w:rFonts w:ascii="Times New Roman" w:eastAsia="Times New Roman" w:hAnsi="Times New Roman" w:cs="Times New Roman"/>
                <w:color w:val="000000" w:themeColor="text1"/>
                <w:sz w:val="20"/>
                <w:szCs w:val="20"/>
              </w:rPr>
              <w:t>0,0%</w:t>
            </w:r>
          </w:p>
        </w:tc>
        <w:tc>
          <w:tcPr>
            <w:tcW w:w="709" w:type="dxa"/>
          </w:tcPr>
          <w:p w14:paraId="60C697AE" w14:textId="77777777" w:rsidR="008143A0" w:rsidRPr="006D0FC0" w:rsidRDefault="008143A0" w:rsidP="008143A0">
            <w:pPr>
              <w:jc w:val="center"/>
              <w:rPr>
                <w:rFonts w:ascii="Times New Roman" w:eastAsia="Times New Roman" w:hAnsi="Times New Roman" w:cs="Times New Roman"/>
                <w:color w:val="000000" w:themeColor="text1"/>
                <w:sz w:val="20"/>
                <w:szCs w:val="20"/>
              </w:rPr>
            </w:pPr>
          </w:p>
        </w:tc>
        <w:tc>
          <w:tcPr>
            <w:tcW w:w="1134" w:type="dxa"/>
            <w:shd w:val="clear" w:color="auto" w:fill="auto"/>
            <w:noWrap/>
            <w:vAlign w:val="bottom"/>
            <w:hideMark/>
          </w:tcPr>
          <w:p w14:paraId="3DB5CD5F" w14:textId="77777777" w:rsidR="008143A0" w:rsidRPr="006D0FC0" w:rsidRDefault="008143A0" w:rsidP="008143A0">
            <w:pPr>
              <w:jc w:val="center"/>
              <w:rPr>
                <w:rFonts w:ascii="Times New Roman" w:eastAsia="Times New Roman" w:hAnsi="Times New Roman" w:cs="Times New Roman"/>
                <w:color w:val="000000" w:themeColor="text1"/>
                <w:sz w:val="20"/>
                <w:szCs w:val="20"/>
              </w:rPr>
            </w:pPr>
            <w:r w:rsidRPr="006D0FC0">
              <w:rPr>
                <w:rFonts w:ascii="Times New Roman" w:eastAsia="Times New Roman" w:hAnsi="Times New Roman" w:cs="Times New Roman"/>
                <w:color w:val="000000" w:themeColor="text1"/>
                <w:sz w:val="20"/>
                <w:szCs w:val="20"/>
              </w:rPr>
              <w:t>0,6%</w:t>
            </w:r>
          </w:p>
        </w:tc>
        <w:tc>
          <w:tcPr>
            <w:tcW w:w="1275" w:type="dxa"/>
            <w:shd w:val="clear" w:color="auto" w:fill="auto"/>
            <w:noWrap/>
            <w:vAlign w:val="bottom"/>
            <w:hideMark/>
          </w:tcPr>
          <w:p w14:paraId="02948337" w14:textId="77777777" w:rsidR="008143A0" w:rsidRPr="006D0FC0" w:rsidRDefault="008143A0" w:rsidP="008143A0">
            <w:pPr>
              <w:jc w:val="center"/>
              <w:rPr>
                <w:rFonts w:ascii="Times New Roman" w:eastAsia="Times New Roman" w:hAnsi="Times New Roman" w:cs="Times New Roman"/>
                <w:color w:val="000000" w:themeColor="text1"/>
                <w:sz w:val="20"/>
                <w:szCs w:val="20"/>
              </w:rPr>
            </w:pPr>
            <w:r w:rsidRPr="006D0FC0">
              <w:rPr>
                <w:rFonts w:ascii="Times New Roman" w:eastAsia="Times New Roman" w:hAnsi="Times New Roman" w:cs="Times New Roman"/>
                <w:color w:val="000000" w:themeColor="text1"/>
                <w:sz w:val="20"/>
                <w:szCs w:val="20"/>
              </w:rPr>
              <w:t>1,7%</w:t>
            </w:r>
          </w:p>
        </w:tc>
      </w:tr>
    </w:tbl>
    <w:p w14:paraId="77E58A40" w14:textId="77777777" w:rsidR="008143A0" w:rsidRPr="009E4F13" w:rsidRDefault="008143A0" w:rsidP="008143A0">
      <w:pPr>
        <w:rPr>
          <w:rFonts w:ascii="Times New Roman" w:hAnsi="Times New Roman" w:cs="Times New Roman"/>
          <w:sz w:val="10"/>
          <w:szCs w:val="10"/>
        </w:rPr>
      </w:pPr>
    </w:p>
    <w:p w14:paraId="3BF5AE83" w14:textId="77777777" w:rsidR="008143A0" w:rsidRPr="009E4F13" w:rsidRDefault="008143A0" w:rsidP="008143A0">
      <w:pPr>
        <w:jc w:val="both"/>
        <w:rPr>
          <w:rFonts w:ascii="Times New Roman" w:hAnsi="Times New Roman" w:cs="Times New Roman"/>
          <w:sz w:val="20"/>
          <w:szCs w:val="20"/>
        </w:rPr>
      </w:pPr>
    </w:p>
    <w:p w14:paraId="5B34BBC5" w14:textId="77777777" w:rsidR="008143A0" w:rsidRPr="009E4F13" w:rsidRDefault="008143A0" w:rsidP="008143A0">
      <w:pPr>
        <w:ind w:left="709" w:hanging="709"/>
        <w:jc w:val="both"/>
        <w:rPr>
          <w:rFonts w:ascii="Times New Roman" w:hAnsi="Times New Roman" w:cs="Times New Roman"/>
          <w:sz w:val="20"/>
          <w:szCs w:val="20"/>
        </w:rPr>
      </w:pPr>
      <w:r w:rsidRPr="009E4F13">
        <w:rPr>
          <w:rFonts w:ascii="Times New Roman" w:hAnsi="Times New Roman" w:cs="Times New Roman"/>
          <w:sz w:val="20"/>
          <w:szCs w:val="20"/>
        </w:rPr>
        <w:t xml:space="preserve">Źródło: K. Cieślikowski: </w:t>
      </w:r>
      <w:r w:rsidRPr="009E4F13">
        <w:rPr>
          <w:rFonts w:ascii="Times New Roman" w:hAnsi="Times New Roman" w:cs="Times New Roman"/>
          <w:i/>
          <w:sz w:val="20"/>
          <w:szCs w:val="20"/>
        </w:rPr>
        <w:t xml:space="preserve">Rynek turystyki biznesowej w Katowicach w 2013 roku. </w:t>
      </w:r>
      <w:r>
        <w:rPr>
          <w:rFonts w:ascii="Times New Roman" w:hAnsi="Times New Roman" w:cs="Times New Roman"/>
          <w:i/>
          <w:sz w:val="20"/>
          <w:szCs w:val="20"/>
        </w:rPr>
        <w:t>op. cit.</w:t>
      </w:r>
    </w:p>
    <w:p w14:paraId="111448CA" w14:textId="77777777" w:rsidR="008143A0" w:rsidRPr="009E4F13" w:rsidRDefault="008143A0" w:rsidP="008143A0">
      <w:pPr>
        <w:jc w:val="both"/>
        <w:rPr>
          <w:rFonts w:ascii="Times New Roman" w:hAnsi="Times New Roman" w:cs="Times New Roman"/>
          <w:sz w:val="22"/>
          <w:szCs w:val="22"/>
        </w:rPr>
      </w:pPr>
    </w:p>
    <w:p w14:paraId="52392727" w14:textId="1F50FAC0" w:rsidR="008143A0" w:rsidRPr="009E4F13" w:rsidRDefault="008143A0" w:rsidP="00414A11">
      <w:pPr>
        <w:spacing w:line="360" w:lineRule="auto"/>
        <w:ind w:firstLine="708"/>
        <w:jc w:val="both"/>
        <w:rPr>
          <w:rFonts w:ascii="Times New Roman" w:hAnsi="Times New Roman" w:cs="Times New Roman"/>
        </w:rPr>
      </w:pPr>
      <w:r w:rsidRPr="009E4F13">
        <w:rPr>
          <w:rFonts w:ascii="Times New Roman" w:hAnsi="Times New Roman" w:cs="Times New Roman"/>
        </w:rPr>
        <w:t>Ze środków komunikacji zbiorowej chętniej korzystają delegaci organizacji non-profit - 25,3% z nich przyjeżdża do Katowic koleją, 10,1% a</w:t>
      </w:r>
      <w:r>
        <w:rPr>
          <w:rFonts w:ascii="Times New Roman" w:hAnsi="Times New Roman" w:cs="Times New Roman"/>
        </w:rPr>
        <w:t xml:space="preserve">utobusem dalekobieżnym (tab. </w:t>
      </w:r>
      <w:r w:rsidR="00425C88">
        <w:rPr>
          <w:rFonts w:ascii="Times New Roman" w:hAnsi="Times New Roman" w:cs="Times New Roman"/>
        </w:rPr>
        <w:t>7</w:t>
      </w:r>
      <w:r w:rsidRPr="009E4F13">
        <w:rPr>
          <w:rFonts w:ascii="Times New Roman" w:hAnsi="Times New Roman" w:cs="Times New Roman"/>
        </w:rPr>
        <w:t xml:space="preserve">). </w:t>
      </w:r>
    </w:p>
    <w:p w14:paraId="759FDEBA" w14:textId="77777777" w:rsidR="008143A0" w:rsidRPr="009E4F13" w:rsidRDefault="008143A0" w:rsidP="008143A0">
      <w:pPr>
        <w:spacing w:line="360" w:lineRule="auto"/>
        <w:jc w:val="both"/>
        <w:rPr>
          <w:rFonts w:ascii="Times New Roman" w:hAnsi="Times New Roman" w:cs="Times New Roman"/>
        </w:rPr>
      </w:pPr>
    </w:p>
    <w:p w14:paraId="1C086729" w14:textId="46F1AB87" w:rsidR="008143A0" w:rsidRPr="009E4F13" w:rsidRDefault="00425C88" w:rsidP="00425C88">
      <w:pPr>
        <w:spacing w:line="360" w:lineRule="auto"/>
        <w:ind w:firstLine="708"/>
        <w:jc w:val="both"/>
        <w:rPr>
          <w:rFonts w:ascii="Times New Roman" w:hAnsi="Times New Roman" w:cs="Times New Roman"/>
        </w:rPr>
      </w:pPr>
      <w:r>
        <w:rPr>
          <w:rFonts w:ascii="Times New Roman" w:hAnsi="Times New Roman" w:cs="Times New Roman"/>
        </w:rPr>
        <w:t>W badaniu dokonano a</w:t>
      </w:r>
      <w:r w:rsidR="008143A0" w:rsidRPr="009E4F13">
        <w:rPr>
          <w:rFonts w:ascii="Times New Roman" w:hAnsi="Times New Roman" w:cs="Times New Roman"/>
        </w:rPr>
        <w:t>nal</w:t>
      </w:r>
      <w:r>
        <w:rPr>
          <w:rFonts w:ascii="Times New Roman" w:hAnsi="Times New Roman" w:cs="Times New Roman"/>
        </w:rPr>
        <w:t>izy struktury</w:t>
      </w:r>
      <w:r w:rsidR="008143A0" w:rsidRPr="009E4F13">
        <w:rPr>
          <w:rFonts w:ascii="Times New Roman" w:hAnsi="Times New Roman" w:cs="Times New Roman"/>
        </w:rPr>
        <w:t xml:space="preserve"> wydatków uczestników spotkań konferencyjnych i wydarzeń biznesowych</w:t>
      </w:r>
      <w:r>
        <w:rPr>
          <w:rFonts w:ascii="Times New Roman" w:hAnsi="Times New Roman" w:cs="Times New Roman"/>
        </w:rPr>
        <w:t>.</w:t>
      </w:r>
      <w:r w:rsidR="008143A0">
        <w:rPr>
          <w:rFonts w:ascii="Times New Roman" w:hAnsi="Times New Roman" w:cs="Times New Roman"/>
        </w:rPr>
        <w:t xml:space="preserve"> </w:t>
      </w:r>
      <w:r>
        <w:rPr>
          <w:rFonts w:ascii="Times New Roman" w:hAnsi="Times New Roman" w:cs="Times New Roman"/>
        </w:rPr>
        <w:t>Z</w:t>
      </w:r>
      <w:r w:rsidR="008143A0">
        <w:rPr>
          <w:rFonts w:ascii="Times New Roman" w:hAnsi="Times New Roman" w:cs="Times New Roman"/>
        </w:rPr>
        <w:t xml:space="preserve">auważyć </w:t>
      </w:r>
      <w:r>
        <w:rPr>
          <w:rFonts w:ascii="Times New Roman" w:hAnsi="Times New Roman" w:cs="Times New Roman"/>
        </w:rPr>
        <w:t xml:space="preserve">można, </w:t>
      </w:r>
      <w:r w:rsidR="008143A0">
        <w:rPr>
          <w:rFonts w:ascii="Times New Roman" w:hAnsi="Times New Roman" w:cs="Times New Roman"/>
        </w:rPr>
        <w:t xml:space="preserve">jak wiele różnych przedsiębiorstw </w:t>
      </w:r>
      <w:r>
        <w:rPr>
          <w:rFonts w:ascii="Times New Roman" w:hAnsi="Times New Roman" w:cs="Times New Roman"/>
        </w:rPr>
        <w:t xml:space="preserve">korzysta </w:t>
      </w:r>
      <w:r w:rsidR="008143A0">
        <w:rPr>
          <w:rFonts w:ascii="Times New Roman" w:hAnsi="Times New Roman" w:cs="Times New Roman"/>
        </w:rPr>
        <w:t>z tego ruchu turystycznego.</w:t>
      </w:r>
      <w:r>
        <w:rPr>
          <w:rFonts w:ascii="Times New Roman" w:hAnsi="Times New Roman" w:cs="Times New Roman"/>
        </w:rPr>
        <w:t xml:space="preserve"> </w:t>
      </w:r>
      <w:r w:rsidR="008143A0">
        <w:rPr>
          <w:rFonts w:ascii="Times New Roman" w:hAnsi="Times New Roman" w:cs="Times New Roman"/>
          <w:color w:val="000000" w:themeColor="text1"/>
        </w:rPr>
        <w:t xml:space="preserve">Z badań rynkowych w 2013 r. wynika, że </w:t>
      </w:r>
      <w:r w:rsidR="008143A0" w:rsidRPr="009E4F13">
        <w:rPr>
          <w:rFonts w:ascii="Times New Roman" w:hAnsi="Times New Roman" w:cs="Times New Roman"/>
          <w:color w:val="000000" w:themeColor="text1"/>
        </w:rPr>
        <w:t xml:space="preserve">24,5% odwiedzających delegatów nie wydało nic w </w:t>
      </w:r>
      <w:r>
        <w:rPr>
          <w:rFonts w:ascii="Times New Roman" w:hAnsi="Times New Roman" w:cs="Times New Roman"/>
          <w:color w:val="000000" w:themeColor="text1"/>
        </w:rPr>
        <w:t>Katowicach</w:t>
      </w:r>
      <w:r w:rsidR="008143A0" w:rsidRPr="009E4F13">
        <w:rPr>
          <w:rFonts w:ascii="Times New Roman" w:hAnsi="Times New Roman" w:cs="Times New Roman"/>
          <w:color w:val="000000" w:themeColor="text1"/>
        </w:rPr>
        <w:t xml:space="preserve"> poza kosztem dojazdu na konferencję. Średnie ogólne wydatki delegata w </w:t>
      </w:r>
      <w:r w:rsidR="008143A0">
        <w:rPr>
          <w:rFonts w:ascii="Times New Roman" w:hAnsi="Times New Roman" w:cs="Times New Roman"/>
          <w:color w:val="000000" w:themeColor="text1"/>
        </w:rPr>
        <w:t xml:space="preserve">mieście </w:t>
      </w:r>
      <w:r w:rsidR="008143A0" w:rsidRPr="009E4F13">
        <w:rPr>
          <w:rFonts w:ascii="Times New Roman" w:hAnsi="Times New Roman" w:cs="Times New Roman"/>
          <w:color w:val="000000" w:themeColor="text1"/>
        </w:rPr>
        <w:t xml:space="preserve"> wyniosły 197,41 zł, przy czym dla </w:t>
      </w:r>
      <w:r w:rsidR="008143A0" w:rsidRPr="006D0FC0">
        <w:rPr>
          <w:rFonts w:ascii="Times New Roman" w:hAnsi="Times New Roman" w:cs="Times New Roman"/>
          <w:color w:val="000000" w:themeColor="text1"/>
        </w:rPr>
        <w:t xml:space="preserve">korzystającego z </w:t>
      </w:r>
      <w:r w:rsidR="008143A0">
        <w:rPr>
          <w:rFonts w:ascii="Times New Roman" w:hAnsi="Times New Roman" w:cs="Times New Roman"/>
          <w:color w:val="000000" w:themeColor="text1"/>
        </w:rPr>
        <w:t>było to</w:t>
      </w:r>
      <w:r w:rsidR="008143A0" w:rsidRPr="006D0FC0">
        <w:rPr>
          <w:rFonts w:ascii="Times New Roman" w:hAnsi="Times New Roman" w:cs="Times New Roman"/>
          <w:color w:val="000000" w:themeColor="text1"/>
        </w:rPr>
        <w:t xml:space="preserve"> 579,2 </w:t>
      </w:r>
      <w:r w:rsidR="008143A0">
        <w:rPr>
          <w:rFonts w:ascii="Times New Roman" w:hAnsi="Times New Roman" w:cs="Times New Roman"/>
          <w:color w:val="000000" w:themeColor="text1"/>
        </w:rPr>
        <w:t>zł, w </w:t>
      </w:r>
      <w:r w:rsidR="008143A0" w:rsidRPr="006D0FC0">
        <w:rPr>
          <w:rFonts w:ascii="Times New Roman" w:hAnsi="Times New Roman" w:cs="Times New Roman"/>
          <w:color w:val="000000" w:themeColor="text1"/>
        </w:rPr>
        <w:t>tym koszt noclegu to średnio 282,8 zł, co stanowi 48,8 % wydatków ogółem uczestnika konferencji w Katowicach. Delegaci</w:t>
      </w:r>
      <w:r>
        <w:rPr>
          <w:rFonts w:ascii="Times New Roman" w:hAnsi="Times New Roman" w:cs="Times New Roman"/>
          <w:color w:val="000000" w:themeColor="text1"/>
        </w:rPr>
        <w:t>, którzy nie korzystają z </w:t>
      </w:r>
      <w:r w:rsidR="008143A0" w:rsidRPr="009E4F13">
        <w:rPr>
          <w:rFonts w:ascii="Times New Roman" w:hAnsi="Times New Roman" w:cs="Times New Roman"/>
          <w:color w:val="000000" w:themeColor="text1"/>
        </w:rPr>
        <w:t>noclegów wydali średnio w </w:t>
      </w:r>
      <w:r w:rsidR="008143A0">
        <w:rPr>
          <w:rFonts w:ascii="Times New Roman" w:hAnsi="Times New Roman" w:cs="Times New Roman"/>
          <w:color w:val="000000" w:themeColor="text1"/>
        </w:rPr>
        <w:t>mieście</w:t>
      </w:r>
      <w:r w:rsidR="008143A0" w:rsidRPr="009E4F13">
        <w:rPr>
          <w:rFonts w:ascii="Times New Roman" w:hAnsi="Times New Roman" w:cs="Times New Roman"/>
          <w:color w:val="000000" w:themeColor="text1"/>
        </w:rPr>
        <w:t xml:space="preserve"> </w:t>
      </w:r>
      <w:r w:rsidR="008143A0" w:rsidRPr="006D0FC0">
        <w:rPr>
          <w:rFonts w:ascii="Times New Roman" w:eastAsia="Times New Roman" w:hAnsi="Times New Roman" w:cs="Times New Roman"/>
          <w:bCs/>
          <w:color w:val="000000" w:themeColor="text1"/>
        </w:rPr>
        <w:t>139,6 zł</w:t>
      </w:r>
      <w:r w:rsidR="008143A0" w:rsidRPr="009E4F13">
        <w:rPr>
          <w:rFonts w:ascii="Times New Roman" w:eastAsia="Times New Roman" w:hAnsi="Times New Roman" w:cs="Times New Roman"/>
          <w:bCs/>
          <w:color w:val="000000" w:themeColor="text1"/>
        </w:rPr>
        <w:t>.</w:t>
      </w:r>
    </w:p>
    <w:p w14:paraId="096A4206" w14:textId="15317F5E" w:rsidR="008143A0" w:rsidRPr="009E4F13" w:rsidRDefault="008143A0" w:rsidP="008143A0">
      <w:pPr>
        <w:spacing w:line="360" w:lineRule="auto"/>
        <w:ind w:firstLine="708"/>
        <w:jc w:val="both"/>
        <w:rPr>
          <w:rFonts w:ascii="Times New Roman" w:hAnsi="Times New Roman" w:cs="Times New Roman"/>
        </w:rPr>
      </w:pPr>
      <w:r w:rsidRPr="009E4F13">
        <w:rPr>
          <w:rFonts w:ascii="Times New Roman" w:hAnsi="Times New Roman" w:cs="Times New Roman"/>
        </w:rPr>
        <w:t xml:space="preserve">Uwzględniając strukturę wydatków można zauważyć, że w Katowicach delegaci najwięcej wydają na nocleg, a następnie na usługi gastronomiczne (w tym usługi w obiekcie konferencyjnym i poza nim), zakupy w galeriach i transport lokalny (tab. </w:t>
      </w:r>
      <w:r w:rsidR="00425C88">
        <w:rPr>
          <w:rFonts w:ascii="Times New Roman" w:hAnsi="Times New Roman" w:cs="Times New Roman"/>
        </w:rPr>
        <w:t>9</w:t>
      </w:r>
      <w:r w:rsidRPr="009E4F13">
        <w:rPr>
          <w:rFonts w:ascii="Times New Roman" w:hAnsi="Times New Roman" w:cs="Times New Roman"/>
        </w:rPr>
        <w:t>).</w:t>
      </w:r>
    </w:p>
    <w:p w14:paraId="4C73A783" w14:textId="77777777" w:rsidR="008143A0" w:rsidRDefault="008143A0" w:rsidP="008143A0">
      <w:pPr>
        <w:pStyle w:val="Napis"/>
        <w:ind w:left="993" w:hanging="993"/>
        <w:jc w:val="right"/>
      </w:pPr>
      <w:bookmarkStart w:id="10" w:name="_Toc248210489"/>
      <w:r w:rsidRPr="009E4F13">
        <w:t xml:space="preserve">Tabela </w:t>
      </w:r>
      <w:r w:rsidRPr="009E4F13">
        <w:fldChar w:fldCharType="begin"/>
      </w:r>
      <w:r w:rsidRPr="009E4F13">
        <w:instrText xml:space="preserve"> SEQ Tabela \* ARABIC </w:instrText>
      </w:r>
      <w:r w:rsidRPr="009E4F13">
        <w:fldChar w:fldCharType="separate"/>
      </w:r>
      <w:r>
        <w:rPr>
          <w:noProof/>
        </w:rPr>
        <w:t>9</w:t>
      </w:r>
      <w:r w:rsidRPr="009E4F13">
        <w:fldChar w:fldCharType="end"/>
      </w:r>
      <w:r w:rsidRPr="009E4F13">
        <w:t xml:space="preserve">. </w:t>
      </w:r>
    </w:p>
    <w:p w14:paraId="0BEE236F" w14:textId="77777777" w:rsidR="008143A0" w:rsidRPr="009E4F13" w:rsidRDefault="008143A0" w:rsidP="008143A0">
      <w:pPr>
        <w:pStyle w:val="Napis"/>
        <w:ind w:left="993" w:hanging="993"/>
        <w:rPr>
          <w:bCs w:val="0"/>
        </w:rPr>
      </w:pPr>
      <w:r w:rsidRPr="009E4F13">
        <w:rPr>
          <w:bCs w:val="0"/>
        </w:rPr>
        <w:t>Struktura wydatków uczestników spotkań konferencyjnych w Katowicach</w:t>
      </w:r>
      <w:bookmarkEnd w:id="10"/>
    </w:p>
    <w:tbl>
      <w:tblPr>
        <w:tblW w:w="7431" w:type="dxa"/>
        <w:jc w:val="center"/>
        <w:tblInd w:w="-637" w:type="dxa"/>
        <w:tblBorders>
          <w:insideH w:val="single" w:sz="4" w:space="0" w:color="auto"/>
        </w:tblBorders>
        <w:tblLayout w:type="fixed"/>
        <w:tblCellMar>
          <w:left w:w="70" w:type="dxa"/>
          <w:right w:w="70" w:type="dxa"/>
        </w:tblCellMar>
        <w:tblLook w:val="04A0" w:firstRow="1" w:lastRow="0" w:firstColumn="1" w:lastColumn="0" w:noHBand="0" w:noVBand="1"/>
      </w:tblPr>
      <w:tblGrid>
        <w:gridCol w:w="2691"/>
        <w:gridCol w:w="2370"/>
        <w:gridCol w:w="2370"/>
      </w:tblGrid>
      <w:tr w:rsidR="008143A0" w:rsidRPr="009E4F13" w14:paraId="393902C1" w14:textId="77777777" w:rsidTr="008143A0">
        <w:trPr>
          <w:trHeight w:val="319"/>
          <w:jc w:val="center"/>
        </w:trPr>
        <w:tc>
          <w:tcPr>
            <w:tcW w:w="2691" w:type="dxa"/>
            <w:shd w:val="clear" w:color="auto" w:fill="auto"/>
            <w:noWrap/>
            <w:vAlign w:val="center"/>
            <w:hideMark/>
          </w:tcPr>
          <w:p w14:paraId="49D220CE" w14:textId="77777777" w:rsidR="008143A0" w:rsidRPr="009E4F13" w:rsidRDefault="008143A0" w:rsidP="008143A0">
            <w:pPr>
              <w:jc w:val="center"/>
              <w:rPr>
                <w:rFonts w:ascii="Times New Roman" w:eastAsia="Times New Roman" w:hAnsi="Times New Roman" w:cs="Times New Roman"/>
                <w:b/>
                <w:color w:val="000000" w:themeColor="text1"/>
                <w:sz w:val="18"/>
                <w:szCs w:val="18"/>
              </w:rPr>
            </w:pPr>
          </w:p>
        </w:tc>
        <w:tc>
          <w:tcPr>
            <w:tcW w:w="2370" w:type="dxa"/>
            <w:shd w:val="clear" w:color="auto" w:fill="auto"/>
            <w:noWrap/>
            <w:vAlign w:val="center"/>
            <w:hideMark/>
          </w:tcPr>
          <w:p w14:paraId="1D41639E" w14:textId="77777777" w:rsidR="008143A0" w:rsidRPr="009E4F13" w:rsidRDefault="008143A0" w:rsidP="008143A0">
            <w:pPr>
              <w:jc w:val="center"/>
              <w:rPr>
                <w:rFonts w:ascii="Times New Roman" w:eastAsia="Times New Roman" w:hAnsi="Times New Roman" w:cs="Times New Roman"/>
                <w:sz w:val="18"/>
                <w:szCs w:val="18"/>
              </w:rPr>
            </w:pPr>
            <w:r w:rsidRPr="009E4F13">
              <w:rPr>
                <w:rFonts w:ascii="Times New Roman" w:eastAsia="Times New Roman" w:hAnsi="Times New Roman" w:cs="Times New Roman"/>
                <w:sz w:val="18"/>
                <w:szCs w:val="18"/>
              </w:rPr>
              <w:t xml:space="preserve">Uczestnicy </w:t>
            </w:r>
          </w:p>
          <w:p w14:paraId="709763A3" w14:textId="77777777" w:rsidR="008143A0" w:rsidRPr="009E4F13" w:rsidRDefault="008143A0" w:rsidP="008143A0">
            <w:pPr>
              <w:jc w:val="center"/>
              <w:rPr>
                <w:rFonts w:ascii="Times New Roman" w:eastAsia="Times New Roman" w:hAnsi="Times New Roman" w:cs="Times New Roman"/>
                <w:sz w:val="18"/>
                <w:szCs w:val="18"/>
              </w:rPr>
            </w:pPr>
            <w:r w:rsidRPr="009E4F13">
              <w:rPr>
                <w:rFonts w:ascii="Times New Roman" w:eastAsia="Times New Roman" w:hAnsi="Times New Roman" w:cs="Times New Roman"/>
                <w:sz w:val="18"/>
                <w:szCs w:val="18"/>
              </w:rPr>
              <w:t>bez noclegu</w:t>
            </w:r>
          </w:p>
        </w:tc>
        <w:tc>
          <w:tcPr>
            <w:tcW w:w="2370" w:type="dxa"/>
            <w:vAlign w:val="center"/>
          </w:tcPr>
          <w:p w14:paraId="7AD649BD" w14:textId="77777777" w:rsidR="008143A0" w:rsidRPr="009E4F13" w:rsidRDefault="008143A0" w:rsidP="008143A0">
            <w:pPr>
              <w:jc w:val="center"/>
              <w:rPr>
                <w:rFonts w:ascii="Times New Roman" w:eastAsia="Times New Roman" w:hAnsi="Times New Roman" w:cs="Times New Roman"/>
                <w:sz w:val="18"/>
                <w:szCs w:val="18"/>
              </w:rPr>
            </w:pPr>
            <w:r w:rsidRPr="009E4F13">
              <w:rPr>
                <w:rFonts w:ascii="Times New Roman" w:eastAsia="Times New Roman" w:hAnsi="Times New Roman" w:cs="Times New Roman"/>
                <w:sz w:val="18"/>
                <w:szCs w:val="18"/>
              </w:rPr>
              <w:t xml:space="preserve">Uczestnicy </w:t>
            </w:r>
          </w:p>
          <w:p w14:paraId="09D7DCA9" w14:textId="77777777" w:rsidR="008143A0" w:rsidRPr="009E4F13" w:rsidRDefault="008143A0" w:rsidP="008143A0">
            <w:pPr>
              <w:jc w:val="center"/>
              <w:rPr>
                <w:rFonts w:ascii="Times New Roman" w:eastAsia="Times New Roman" w:hAnsi="Times New Roman" w:cs="Times New Roman"/>
                <w:sz w:val="18"/>
                <w:szCs w:val="18"/>
              </w:rPr>
            </w:pPr>
            <w:r w:rsidRPr="009E4F13">
              <w:rPr>
                <w:rFonts w:ascii="Times New Roman" w:eastAsia="Times New Roman" w:hAnsi="Times New Roman" w:cs="Times New Roman"/>
                <w:sz w:val="18"/>
                <w:szCs w:val="18"/>
              </w:rPr>
              <w:t>korzystający z noclegu</w:t>
            </w:r>
          </w:p>
        </w:tc>
      </w:tr>
      <w:tr w:rsidR="008143A0" w:rsidRPr="009E4F13" w14:paraId="721CA9FB" w14:textId="77777777" w:rsidTr="008143A0">
        <w:trPr>
          <w:trHeight w:val="445"/>
          <w:jc w:val="center"/>
        </w:trPr>
        <w:tc>
          <w:tcPr>
            <w:tcW w:w="2691" w:type="dxa"/>
            <w:shd w:val="clear" w:color="auto" w:fill="auto"/>
            <w:noWrap/>
            <w:vAlign w:val="center"/>
            <w:hideMark/>
          </w:tcPr>
          <w:p w14:paraId="5B2B8B44" w14:textId="77777777" w:rsidR="008143A0" w:rsidRPr="009E4F13" w:rsidRDefault="008143A0" w:rsidP="008143A0">
            <w:pPr>
              <w:jc w:val="center"/>
              <w:rPr>
                <w:rFonts w:ascii="Times New Roman" w:hAnsi="Times New Roman" w:cs="Times New Roman"/>
                <w:sz w:val="18"/>
                <w:szCs w:val="18"/>
              </w:rPr>
            </w:pPr>
            <w:r w:rsidRPr="009E4F13">
              <w:rPr>
                <w:rFonts w:ascii="Times New Roman" w:eastAsia="Times New Roman" w:hAnsi="Times New Roman" w:cs="Times New Roman"/>
                <w:sz w:val="18"/>
                <w:szCs w:val="18"/>
              </w:rPr>
              <w:t>usługi noclegowe</w:t>
            </w:r>
          </w:p>
        </w:tc>
        <w:tc>
          <w:tcPr>
            <w:tcW w:w="2370" w:type="dxa"/>
            <w:shd w:val="clear" w:color="auto" w:fill="auto"/>
            <w:noWrap/>
            <w:vAlign w:val="center"/>
            <w:hideMark/>
          </w:tcPr>
          <w:p w14:paraId="308A91C9" w14:textId="77777777" w:rsidR="008143A0" w:rsidRPr="009E4F13" w:rsidRDefault="008143A0" w:rsidP="008143A0">
            <w:pPr>
              <w:jc w:val="center"/>
              <w:rPr>
                <w:rFonts w:ascii="Times New Roman" w:hAnsi="Times New Roman" w:cs="Times New Roman"/>
                <w:sz w:val="20"/>
                <w:szCs w:val="20"/>
              </w:rPr>
            </w:pPr>
            <w:r w:rsidRPr="009E4F13">
              <w:rPr>
                <w:rFonts w:ascii="Times New Roman" w:eastAsia="Times New Roman" w:hAnsi="Times New Roman" w:cs="Times New Roman"/>
                <w:color w:val="000000"/>
                <w:sz w:val="20"/>
                <w:szCs w:val="20"/>
              </w:rPr>
              <w:t>0,0%</w:t>
            </w:r>
          </w:p>
        </w:tc>
        <w:tc>
          <w:tcPr>
            <w:tcW w:w="2370" w:type="dxa"/>
            <w:vAlign w:val="center"/>
          </w:tcPr>
          <w:p w14:paraId="4F079CF1" w14:textId="77777777" w:rsidR="008143A0" w:rsidRPr="009E4F13" w:rsidRDefault="008143A0" w:rsidP="008143A0">
            <w:pPr>
              <w:jc w:val="center"/>
              <w:rPr>
                <w:rFonts w:ascii="Times New Roman" w:eastAsia="Times New Roman" w:hAnsi="Times New Roman" w:cs="Times New Roman"/>
                <w:color w:val="000000"/>
                <w:sz w:val="20"/>
                <w:szCs w:val="20"/>
              </w:rPr>
            </w:pPr>
            <w:r w:rsidRPr="009E4F13">
              <w:rPr>
                <w:rFonts w:ascii="Times New Roman" w:eastAsia="Times New Roman" w:hAnsi="Times New Roman" w:cs="Times New Roman"/>
                <w:color w:val="000000"/>
                <w:sz w:val="20"/>
                <w:szCs w:val="20"/>
              </w:rPr>
              <w:t>48,8%</w:t>
            </w:r>
          </w:p>
        </w:tc>
      </w:tr>
      <w:tr w:rsidR="008143A0" w:rsidRPr="009E4F13" w14:paraId="71C9CB97" w14:textId="77777777" w:rsidTr="008143A0">
        <w:trPr>
          <w:trHeight w:val="445"/>
          <w:jc w:val="center"/>
        </w:trPr>
        <w:tc>
          <w:tcPr>
            <w:tcW w:w="2691" w:type="dxa"/>
            <w:shd w:val="clear" w:color="auto" w:fill="auto"/>
            <w:noWrap/>
            <w:vAlign w:val="center"/>
            <w:hideMark/>
          </w:tcPr>
          <w:p w14:paraId="50B1F99E" w14:textId="77777777" w:rsidR="008143A0" w:rsidRPr="009E4F13" w:rsidRDefault="008143A0" w:rsidP="008143A0">
            <w:pPr>
              <w:jc w:val="center"/>
              <w:rPr>
                <w:rFonts w:ascii="Times New Roman" w:hAnsi="Times New Roman" w:cs="Times New Roman"/>
                <w:sz w:val="18"/>
                <w:szCs w:val="18"/>
              </w:rPr>
            </w:pPr>
            <w:r w:rsidRPr="009E4F13">
              <w:rPr>
                <w:rFonts w:ascii="Times New Roman" w:eastAsia="Times New Roman" w:hAnsi="Times New Roman" w:cs="Times New Roman"/>
                <w:sz w:val="18"/>
                <w:szCs w:val="18"/>
              </w:rPr>
              <w:t>usługi gastronomiczne poza obiektem konferencyjnym</w:t>
            </w:r>
          </w:p>
        </w:tc>
        <w:tc>
          <w:tcPr>
            <w:tcW w:w="2370" w:type="dxa"/>
            <w:shd w:val="clear" w:color="auto" w:fill="auto"/>
            <w:noWrap/>
            <w:vAlign w:val="center"/>
            <w:hideMark/>
          </w:tcPr>
          <w:p w14:paraId="56C210EB" w14:textId="77777777" w:rsidR="008143A0" w:rsidRPr="009E4F13" w:rsidRDefault="008143A0" w:rsidP="008143A0">
            <w:pPr>
              <w:jc w:val="center"/>
              <w:rPr>
                <w:rFonts w:ascii="Times New Roman" w:hAnsi="Times New Roman" w:cs="Times New Roman"/>
                <w:sz w:val="20"/>
                <w:szCs w:val="20"/>
              </w:rPr>
            </w:pPr>
            <w:r w:rsidRPr="009E4F13">
              <w:rPr>
                <w:rFonts w:ascii="Times New Roman" w:eastAsia="Times New Roman" w:hAnsi="Times New Roman" w:cs="Times New Roman"/>
                <w:color w:val="000000"/>
                <w:sz w:val="20"/>
                <w:szCs w:val="20"/>
              </w:rPr>
              <w:t>23,4%</w:t>
            </w:r>
          </w:p>
        </w:tc>
        <w:tc>
          <w:tcPr>
            <w:tcW w:w="2370" w:type="dxa"/>
            <w:vAlign w:val="center"/>
          </w:tcPr>
          <w:p w14:paraId="6E0FDE23" w14:textId="77777777" w:rsidR="008143A0" w:rsidRPr="009E4F13" w:rsidRDefault="008143A0" w:rsidP="008143A0">
            <w:pPr>
              <w:jc w:val="center"/>
              <w:rPr>
                <w:rFonts w:ascii="Times New Roman" w:eastAsia="Times New Roman" w:hAnsi="Times New Roman" w:cs="Times New Roman"/>
                <w:color w:val="000000"/>
                <w:sz w:val="20"/>
                <w:szCs w:val="20"/>
              </w:rPr>
            </w:pPr>
            <w:r w:rsidRPr="009E4F13">
              <w:rPr>
                <w:rFonts w:ascii="Times New Roman" w:eastAsia="Times New Roman" w:hAnsi="Times New Roman" w:cs="Times New Roman"/>
                <w:color w:val="000000"/>
                <w:sz w:val="20"/>
                <w:szCs w:val="20"/>
              </w:rPr>
              <w:t>12,9%</w:t>
            </w:r>
          </w:p>
        </w:tc>
      </w:tr>
      <w:tr w:rsidR="008143A0" w:rsidRPr="009E4F13" w14:paraId="0D591EEE" w14:textId="77777777" w:rsidTr="008143A0">
        <w:trPr>
          <w:trHeight w:val="446"/>
          <w:jc w:val="center"/>
        </w:trPr>
        <w:tc>
          <w:tcPr>
            <w:tcW w:w="2691" w:type="dxa"/>
            <w:shd w:val="clear" w:color="auto" w:fill="auto"/>
            <w:noWrap/>
            <w:vAlign w:val="center"/>
            <w:hideMark/>
          </w:tcPr>
          <w:p w14:paraId="659448D4" w14:textId="77777777" w:rsidR="008143A0" w:rsidRPr="009E4F13" w:rsidRDefault="008143A0" w:rsidP="008143A0">
            <w:pPr>
              <w:jc w:val="center"/>
              <w:rPr>
                <w:rFonts w:ascii="Times New Roman" w:hAnsi="Times New Roman" w:cs="Times New Roman"/>
                <w:sz w:val="18"/>
                <w:szCs w:val="18"/>
              </w:rPr>
            </w:pPr>
            <w:r w:rsidRPr="009E4F13">
              <w:rPr>
                <w:rFonts w:ascii="Times New Roman" w:eastAsia="Times New Roman" w:hAnsi="Times New Roman" w:cs="Times New Roman"/>
                <w:sz w:val="18"/>
                <w:szCs w:val="18"/>
              </w:rPr>
              <w:t>zakupy w galeriach, centrach i ulicach handlowych</w:t>
            </w:r>
          </w:p>
        </w:tc>
        <w:tc>
          <w:tcPr>
            <w:tcW w:w="2370" w:type="dxa"/>
            <w:shd w:val="clear" w:color="auto" w:fill="auto"/>
            <w:noWrap/>
            <w:vAlign w:val="center"/>
            <w:hideMark/>
          </w:tcPr>
          <w:p w14:paraId="04BAD94A" w14:textId="77777777" w:rsidR="008143A0" w:rsidRPr="009E4F13" w:rsidRDefault="008143A0" w:rsidP="008143A0">
            <w:pPr>
              <w:jc w:val="center"/>
              <w:rPr>
                <w:rFonts w:ascii="Times New Roman" w:hAnsi="Times New Roman" w:cs="Times New Roman"/>
                <w:sz w:val="20"/>
                <w:szCs w:val="20"/>
              </w:rPr>
            </w:pPr>
            <w:r w:rsidRPr="009E4F13">
              <w:rPr>
                <w:rFonts w:ascii="Times New Roman" w:eastAsia="Times New Roman" w:hAnsi="Times New Roman" w:cs="Times New Roman"/>
                <w:color w:val="000000"/>
                <w:sz w:val="20"/>
                <w:szCs w:val="20"/>
              </w:rPr>
              <w:t>30,2%</w:t>
            </w:r>
          </w:p>
        </w:tc>
        <w:tc>
          <w:tcPr>
            <w:tcW w:w="2370" w:type="dxa"/>
            <w:vAlign w:val="center"/>
          </w:tcPr>
          <w:p w14:paraId="0F2EB16B" w14:textId="77777777" w:rsidR="008143A0" w:rsidRPr="009E4F13" w:rsidRDefault="008143A0" w:rsidP="008143A0">
            <w:pPr>
              <w:jc w:val="center"/>
              <w:rPr>
                <w:rFonts w:ascii="Times New Roman" w:eastAsia="Times New Roman" w:hAnsi="Times New Roman" w:cs="Times New Roman"/>
                <w:color w:val="000000"/>
                <w:sz w:val="20"/>
                <w:szCs w:val="20"/>
              </w:rPr>
            </w:pPr>
            <w:r w:rsidRPr="009E4F13">
              <w:rPr>
                <w:rFonts w:ascii="Times New Roman" w:eastAsia="Times New Roman" w:hAnsi="Times New Roman" w:cs="Times New Roman"/>
                <w:color w:val="000000"/>
                <w:sz w:val="20"/>
                <w:szCs w:val="20"/>
              </w:rPr>
              <w:t>11,8%</w:t>
            </w:r>
          </w:p>
        </w:tc>
      </w:tr>
      <w:tr w:rsidR="008143A0" w:rsidRPr="009E4F13" w14:paraId="7D5A09A0" w14:textId="77777777" w:rsidTr="008143A0">
        <w:trPr>
          <w:trHeight w:val="445"/>
          <w:jc w:val="center"/>
        </w:trPr>
        <w:tc>
          <w:tcPr>
            <w:tcW w:w="2691" w:type="dxa"/>
            <w:shd w:val="clear" w:color="auto" w:fill="auto"/>
            <w:noWrap/>
            <w:vAlign w:val="center"/>
            <w:hideMark/>
          </w:tcPr>
          <w:p w14:paraId="2F0447C2" w14:textId="77777777" w:rsidR="008143A0" w:rsidRPr="009E4F13" w:rsidRDefault="008143A0" w:rsidP="008143A0">
            <w:pPr>
              <w:jc w:val="center"/>
              <w:rPr>
                <w:rFonts w:ascii="Times New Roman" w:hAnsi="Times New Roman" w:cs="Times New Roman"/>
                <w:sz w:val="18"/>
                <w:szCs w:val="18"/>
              </w:rPr>
            </w:pPr>
            <w:r w:rsidRPr="009E4F13">
              <w:rPr>
                <w:rFonts w:ascii="Times New Roman" w:eastAsia="Times New Roman" w:hAnsi="Times New Roman" w:cs="Times New Roman"/>
                <w:sz w:val="18"/>
                <w:szCs w:val="18"/>
              </w:rPr>
              <w:t>usługi gastronomiczne w obiekcie konferencyjnym</w:t>
            </w:r>
          </w:p>
        </w:tc>
        <w:tc>
          <w:tcPr>
            <w:tcW w:w="2370" w:type="dxa"/>
            <w:shd w:val="clear" w:color="auto" w:fill="auto"/>
            <w:noWrap/>
            <w:vAlign w:val="center"/>
            <w:hideMark/>
          </w:tcPr>
          <w:p w14:paraId="5241B943" w14:textId="77777777" w:rsidR="008143A0" w:rsidRPr="009E4F13" w:rsidRDefault="008143A0" w:rsidP="008143A0">
            <w:pPr>
              <w:jc w:val="center"/>
              <w:rPr>
                <w:rFonts w:ascii="Times New Roman" w:hAnsi="Times New Roman" w:cs="Times New Roman"/>
                <w:sz w:val="20"/>
                <w:szCs w:val="20"/>
              </w:rPr>
            </w:pPr>
            <w:r w:rsidRPr="009E4F13">
              <w:rPr>
                <w:rFonts w:ascii="Times New Roman" w:eastAsia="Times New Roman" w:hAnsi="Times New Roman" w:cs="Times New Roman"/>
                <w:color w:val="000000"/>
                <w:sz w:val="20"/>
                <w:szCs w:val="20"/>
              </w:rPr>
              <w:t>7,5%</w:t>
            </w:r>
          </w:p>
        </w:tc>
        <w:tc>
          <w:tcPr>
            <w:tcW w:w="2370" w:type="dxa"/>
            <w:vAlign w:val="center"/>
          </w:tcPr>
          <w:p w14:paraId="3E6D2CBC" w14:textId="77777777" w:rsidR="008143A0" w:rsidRPr="009E4F13" w:rsidRDefault="008143A0" w:rsidP="008143A0">
            <w:pPr>
              <w:jc w:val="center"/>
              <w:rPr>
                <w:rFonts w:ascii="Times New Roman" w:eastAsia="Times New Roman" w:hAnsi="Times New Roman" w:cs="Times New Roman"/>
                <w:color w:val="000000"/>
                <w:sz w:val="20"/>
                <w:szCs w:val="20"/>
              </w:rPr>
            </w:pPr>
            <w:r w:rsidRPr="009E4F13">
              <w:rPr>
                <w:rFonts w:ascii="Times New Roman" w:eastAsia="Times New Roman" w:hAnsi="Times New Roman" w:cs="Times New Roman"/>
                <w:color w:val="000000"/>
                <w:sz w:val="20"/>
                <w:szCs w:val="20"/>
              </w:rPr>
              <w:t>11,4%</w:t>
            </w:r>
          </w:p>
        </w:tc>
      </w:tr>
      <w:tr w:rsidR="008143A0" w:rsidRPr="009E4F13" w14:paraId="3EED2DF5" w14:textId="77777777" w:rsidTr="008143A0">
        <w:trPr>
          <w:trHeight w:val="445"/>
          <w:jc w:val="center"/>
        </w:trPr>
        <w:tc>
          <w:tcPr>
            <w:tcW w:w="2691" w:type="dxa"/>
            <w:shd w:val="clear" w:color="auto" w:fill="auto"/>
            <w:noWrap/>
            <w:vAlign w:val="center"/>
            <w:hideMark/>
          </w:tcPr>
          <w:p w14:paraId="02303D75" w14:textId="77777777" w:rsidR="008143A0" w:rsidRPr="009E4F13" w:rsidRDefault="008143A0" w:rsidP="008143A0">
            <w:pPr>
              <w:jc w:val="center"/>
              <w:rPr>
                <w:rFonts w:ascii="Times New Roman" w:hAnsi="Times New Roman" w:cs="Times New Roman"/>
                <w:sz w:val="18"/>
                <w:szCs w:val="18"/>
              </w:rPr>
            </w:pPr>
            <w:r w:rsidRPr="009E4F13">
              <w:rPr>
                <w:rFonts w:ascii="Times New Roman" w:eastAsia="Times New Roman" w:hAnsi="Times New Roman" w:cs="Times New Roman"/>
                <w:bCs/>
                <w:sz w:val="18"/>
                <w:szCs w:val="18"/>
              </w:rPr>
              <w:t>transport lokalny w miejscowości docelowej (np. MZK, TAXI)</w:t>
            </w:r>
          </w:p>
        </w:tc>
        <w:tc>
          <w:tcPr>
            <w:tcW w:w="2370" w:type="dxa"/>
            <w:shd w:val="clear" w:color="auto" w:fill="auto"/>
            <w:noWrap/>
            <w:vAlign w:val="center"/>
            <w:hideMark/>
          </w:tcPr>
          <w:p w14:paraId="0FB26E93" w14:textId="77777777" w:rsidR="008143A0" w:rsidRPr="009E4F13" w:rsidRDefault="008143A0" w:rsidP="008143A0">
            <w:pPr>
              <w:jc w:val="center"/>
              <w:rPr>
                <w:rFonts w:ascii="Times New Roman" w:hAnsi="Times New Roman" w:cs="Times New Roman"/>
                <w:sz w:val="20"/>
                <w:szCs w:val="20"/>
              </w:rPr>
            </w:pPr>
            <w:r w:rsidRPr="009E4F13">
              <w:rPr>
                <w:rFonts w:ascii="Times New Roman" w:eastAsia="Times New Roman" w:hAnsi="Times New Roman" w:cs="Times New Roman"/>
                <w:color w:val="000000"/>
                <w:sz w:val="20"/>
                <w:szCs w:val="20"/>
              </w:rPr>
              <w:t>16,8%</w:t>
            </w:r>
          </w:p>
        </w:tc>
        <w:tc>
          <w:tcPr>
            <w:tcW w:w="2370" w:type="dxa"/>
            <w:vAlign w:val="center"/>
          </w:tcPr>
          <w:p w14:paraId="4B48B24E" w14:textId="77777777" w:rsidR="008143A0" w:rsidRPr="009E4F13" w:rsidRDefault="008143A0" w:rsidP="008143A0">
            <w:pPr>
              <w:jc w:val="center"/>
              <w:rPr>
                <w:rFonts w:ascii="Times New Roman" w:eastAsia="Times New Roman" w:hAnsi="Times New Roman" w:cs="Times New Roman"/>
                <w:color w:val="000000"/>
                <w:sz w:val="20"/>
                <w:szCs w:val="20"/>
              </w:rPr>
            </w:pPr>
            <w:r w:rsidRPr="009E4F13">
              <w:rPr>
                <w:rFonts w:ascii="Times New Roman" w:eastAsia="Times New Roman" w:hAnsi="Times New Roman" w:cs="Times New Roman"/>
                <w:color w:val="000000"/>
                <w:sz w:val="20"/>
                <w:szCs w:val="20"/>
              </w:rPr>
              <w:t>3,7%</w:t>
            </w:r>
          </w:p>
        </w:tc>
      </w:tr>
      <w:tr w:rsidR="008143A0" w:rsidRPr="009E4F13" w14:paraId="1DF42EE3" w14:textId="77777777" w:rsidTr="008143A0">
        <w:trPr>
          <w:trHeight w:val="445"/>
          <w:jc w:val="center"/>
        </w:trPr>
        <w:tc>
          <w:tcPr>
            <w:tcW w:w="2691" w:type="dxa"/>
            <w:shd w:val="clear" w:color="auto" w:fill="auto"/>
            <w:noWrap/>
            <w:vAlign w:val="center"/>
            <w:hideMark/>
          </w:tcPr>
          <w:p w14:paraId="2C08DEC1" w14:textId="77777777" w:rsidR="008143A0" w:rsidRPr="009E4F13" w:rsidRDefault="008143A0" w:rsidP="008143A0">
            <w:pPr>
              <w:jc w:val="center"/>
              <w:rPr>
                <w:rFonts w:ascii="Times New Roman" w:hAnsi="Times New Roman" w:cs="Times New Roman"/>
                <w:sz w:val="18"/>
                <w:szCs w:val="18"/>
              </w:rPr>
            </w:pPr>
            <w:r w:rsidRPr="009E4F13">
              <w:rPr>
                <w:rFonts w:ascii="Times New Roman" w:eastAsia="Times New Roman" w:hAnsi="Times New Roman" w:cs="Times New Roman"/>
                <w:sz w:val="18"/>
                <w:szCs w:val="18"/>
              </w:rPr>
              <w:t>rekreacja i rozrywka w czasie wolnym w Katowicach</w:t>
            </w:r>
          </w:p>
        </w:tc>
        <w:tc>
          <w:tcPr>
            <w:tcW w:w="2370" w:type="dxa"/>
            <w:shd w:val="clear" w:color="auto" w:fill="auto"/>
            <w:noWrap/>
            <w:vAlign w:val="center"/>
            <w:hideMark/>
          </w:tcPr>
          <w:p w14:paraId="6B566847" w14:textId="77777777" w:rsidR="008143A0" w:rsidRPr="009E4F13" w:rsidRDefault="008143A0" w:rsidP="008143A0">
            <w:pPr>
              <w:jc w:val="center"/>
              <w:rPr>
                <w:rFonts w:ascii="Times New Roman" w:hAnsi="Times New Roman" w:cs="Times New Roman"/>
                <w:sz w:val="20"/>
                <w:szCs w:val="20"/>
              </w:rPr>
            </w:pPr>
            <w:r w:rsidRPr="009E4F13">
              <w:rPr>
                <w:rFonts w:ascii="Times New Roman" w:eastAsia="Times New Roman" w:hAnsi="Times New Roman" w:cs="Times New Roman"/>
                <w:color w:val="000000"/>
                <w:sz w:val="20"/>
                <w:szCs w:val="20"/>
              </w:rPr>
              <w:t>10,3%</w:t>
            </w:r>
          </w:p>
        </w:tc>
        <w:tc>
          <w:tcPr>
            <w:tcW w:w="2370" w:type="dxa"/>
            <w:vAlign w:val="center"/>
          </w:tcPr>
          <w:p w14:paraId="6CEB67A6" w14:textId="77777777" w:rsidR="008143A0" w:rsidRPr="009E4F13" w:rsidRDefault="008143A0" w:rsidP="008143A0">
            <w:pPr>
              <w:jc w:val="center"/>
              <w:rPr>
                <w:rFonts w:ascii="Times New Roman" w:eastAsia="Times New Roman" w:hAnsi="Times New Roman" w:cs="Times New Roman"/>
                <w:color w:val="000000"/>
                <w:sz w:val="20"/>
                <w:szCs w:val="20"/>
              </w:rPr>
            </w:pPr>
            <w:r w:rsidRPr="009E4F13">
              <w:rPr>
                <w:rFonts w:ascii="Times New Roman" w:eastAsia="Times New Roman" w:hAnsi="Times New Roman" w:cs="Times New Roman"/>
                <w:color w:val="000000"/>
                <w:sz w:val="20"/>
                <w:szCs w:val="20"/>
              </w:rPr>
              <w:t>3,2%</w:t>
            </w:r>
          </w:p>
        </w:tc>
      </w:tr>
      <w:tr w:rsidR="008143A0" w:rsidRPr="009E4F13" w14:paraId="5FB23313" w14:textId="77777777" w:rsidTr="008143A0">
        <w:trPr>
          <w:trHeight w:val="446"/>
          <w:jc w:val="center"/>
        </w:trPr>
        <w:tc>
          <w:tcPr>
            <w:tcW w:w="2691" w:type="dxa"/>
            <w:shd w:val="clear" w:color="auto" w:fill="auto"/>
            <w:noWrap/>
            <w:vAlign w:val="center"/>
            <w:hideMark/>
          </w:tcPr>
          <w:p w14:paraId="3BB77D60" w14:textId="77777777" w:rsidR="008143A0" w:rsidRPr="009E4F13" w:rsidRDefault="008143A0" w:rsidP="008143A0">
            <w:pPr>
              <w:jc w:val="center"/>
              <w:rPr>
                <w:rFonts w:ascii="Times New Roman" w:hAnsi="Times New Roman" w:cs="Times New Roman"/>
                <w:sz w:val="18"/>
                <w:szCs w:val="18"/>
              </w:rPr>
            </w:pPr>
            <w:r w:rsidRPr="009E4F13">
              <w:rPr>
                <w:rFonts w:ascii="Times New Roman" w:eastAsia="Times New Roman" w:hAnsi="Times New Roman" w:cs="Times New Roman"/>
                <w:sz w:val="18"/>
                <w:szCs w:val="18"/>
              </w:rPr>
              <w:t>pamiątki z miejscowości konferencyjnej</w:t>
            </w:r>
          </w:p>
        </w:tc>
        <w:tc>
          <w:tcPr>
            <w:tcW w:w="2370" w:type="dxa"/>
            <w:shd w:val="clear" w:color="auto" w:fill="auto"/>
            <w:noWrap/>
            <w:vAlign w:val="center"/>
            <w:hideMark/>
          </w:tcPr>
          <w:p w14:paraId="0951AD96" w14:textId="77777777" w:rsidR="008143A0" w:rsidRPr="009E4F13" w:rsidRDefault="008143A0" w:rsidP="008143A0">
            <w:pPr>
              <w:jc w:val="center"/>
              <w:rPr>
                <w:rFonts w:ascii="Times New Roman" w:hAnsi="Times New Roman" w:cs="Times New Roman"/>
                <w:sz w:val="20"/>
                <w:szCs w:val="20"/>
              </w:rPr>
            </w:pPr>
            <w:r w:rsidRPr="009E4F13">
              <w:rPr>
                <w:rFonts w:ascii="Times New Roman" w:eastAsia="Times New Roman" w:hAnsi="Times New Roman" w:cs="Times New Roman"/>
                <w:color w:val="000000"/>
                <w:sz w:val="20"/>
                <w:szCs w:val="20"/>
              </w:rPr>
              <w:t>3,2%</w:t>
            </w:r>
          </w:p>
        </w:tc>
        <w:tc>
          <w:tcPr>
            <w:tcW w:w="2370" w:type="dxa"/>
            <w:vAlign w:val="center"/>
          </w:tcPr>
          <w:p w14:paraId="1D7D0193" w14:textId="77777777" w:rsidR="008143A0" w:rsidRPr="009E4F13" w:rsidRDefault="008143A0" w:rsidP="008143A0">
            <w:pPr>
              <w:jc w:val="center"/>
              <w:rPr>
                <w:rFonts w:ascii="Times New Roman" w:eastAsia="Times New Roman" w:hAnsi="Times New Roman" w:cs="Times New Roman"/>
                <w:color w:val="000000"/>
                <w:sz w:val="20"/>
                <w:szCs w:val="20"/>
              </w:rPr>
            </w:pPr>
            <w:r w:rsidRPr="009E4F13">
              <w:rPr>
                <w:rFonts w:ascii="Times New Roman" w:eastAsia="Times New Roman" w:hAnsi="Times New Roman" w:cs="Times New Roman"/>
                <w:color w:val="000000"/>
                <w:sz w:val="20"/>
                <w:szCs w:val="20"/>
              </w:rPr>
              <w:t>3,0%</w:t>
            </w:r>
          </w:p>
        </w:tc>
      </w:tr>
      <w:tr w:rsidR="008143A0" w:rsidRPr="009E4F13" w14:paraId="5306B755" w14:textId="77777777" w:rsidTr="008143A0">
        <w:trPr>
          <w:trHeight w:val="445"/>
          <w:jc w:val="center"/>
        </w:trPr>
        <w:tc>
          <w:tcPr>
            <w:tcW w:w="2691" w:type="dxa"/>
            <w:shd w:val="clear" w:color="auto" w:fill="auto"/>
            <w:noWrap/>
            <w:vAlign w:val="center"/>
            <w:hideMark/>
          </w:tcPr>
          <w:p w14:paraId="525E5577" w14:textId="77777777" w:rsidR="008143A0" w:rsidRPr="009E4F13" w:rsidRDefault="008143A0" w:rsidP="008143A0">
            <w:pPr>
              <w:jc w:val="center"/>
              <w:rPr>
                <w:rFonts w:ascii="Times New Roman" w:hAnsi="Times New Roman" w:cs="Times New Roman"/>
                <w:sz w:val="18"/>
                <w:szCs w:val="18"/>
              </w:rPr>
            </w:pPr>
            <w:r w:rsidRPr="009E4F13">
              <w:rPr>
                <w:rFonts w:ascii="Times New Roman" w:eastAsia="Times New Roman" w:hAnsi="Times New Roman" w:cs="Times New Roman"/>
                <w:sz w:val="18"/>
                <w:szCs w:val="18"/>
              </w:rPr>
              <w:t>rekreacja i rozrywka w czasie wolnym w obiekcie konf.</w:t>
            </w:r>
          </w:p>
        </w:tc>
        <w:tc>
          <w:tcPr>
            <w:tcW w:w="2370" w:type="dxa"/>
            <w:shd w:val="clear" w:color="auto" w:fill="auto"/>
            <w:noWrap/>
            <w:vAlign w:val="center"/>
            <w:hideMark/>
          </w:tcPr>
          <w:p w14:paraId="08018FD9" w14:textId="77777777" w:rsidR="008143A0" w:rsidRPr="009E4F13" w:rsidRDefault="008143A0" w:rsidP="008143A0">
            <w:pPr>
              <w:jc w:val="center"/>
              <w:rPr>
                <w:rFonts w:ascii="Times New Roman" w:hAnsi="Times New Roman" w:cs="Times New Roman"/>
                <w:sz w:val="20"/>
                <w:szCs w:val="20"/>
              </w:rPr>
            </w:pPr>
            <w:r w:rsidRPr="009E4F13">
              <w:rPr>
                <w:rFonts w:ascii="Times New Roman" w:eastAsia="Times New Roman" w:hAnsi="Times New Roman" w:cs="Times New Roman"/>
                <w:color w:val="000000"/>
                <w:sz w:val="20"/>
                <w:szCs w:val="20"/>
              </w:rPr>
              <w:t>2,8%</w:t>
            </w:r>
          </w:p>
        </w:tc>
        <w:tc>
          <w:tcPr>
            <w:tcW w:w="2370" w:type="dxa"/>
            <w:vAlign w:val="center"/>
          </w:tcPr>
          <w:p w14:paraId="3EF83499" w14:textId="77777777" w:rsidR="008143A0" w:rsidRPr="009E4F13" w:rsidRDefault="008143A0" w:rsidP="008143A0">
            <w:pPr>
              <w:jc w:val="center"/>
              <w:rPr>
                <w:rFonts w:ascii="Times New Roman" w:eastAsia="Times New Roman" w:hAnsi="Times New Roman" w:cs="Times New Roman"/>
                <w:color w:val="000000"/>
                <w:sz w:val="20"/>
                <w:szCs w:val="20"/>
              </w:rPr>
            </w:pPr>
            <w:r w:rsidRPr="009E4F13">
              <w:rPr>
                <w:rFonts w:ascii="Times New Roman" w:eastAsia="Times New Roman" w:hAnsi="Times New Roman" w:cs="Times New Roman"/>
                <w:color w:val="000000"/>
                <w:sz w:val="20"/>
                <w:szCs w:val="20"/>
              </w:rPr>
              <w:t>3,0%</w:t>
            </w:r>
          </w:p>
        </w:tc>
      </w:tr>
      <w:tr w:rsidR="008143A0" w:rsidRPr="009E4F13" w14:paraId="7924799D" w14:textId="77777777" w:rsidTr="008143A0">
        <w:trPr>
          <w:trHeight w:val="446"/>
          <w:jc w:val="center"/>
        </w:trPr>
        <w:tc>
          <w:tcPr>
            <w:tcW w:w="2691" w:type="dxa"/>
            <w:shd w:val="clear" w:color="auto" w:fill="auto"/>
            <w:noWrap/>
            <w:vAlign w:val="center"/>
            <w:hideMark/>
          </w:tcPr>
          <w:p w14:paraId="43B42B58" w14:textId="77777777" w:rsidR="008143A0" w:rsidRPr="009E4F13" w:rsidRDefault="008143A0" w:rsidP="008143A0">
            <w:pPr>
              <w:jc w:val="center"/>
              <w:rPr>
                <w:rFonts w:ascii="Times New Roman" w:hAnsi="Times New Roman" w:cs="Times New Roman"/>
                <w:sz w:val="18"/>
                <w:szCs w:val="18"/>
              </w:rPr>
            </w:pPr>
            <w:r w:rsidRPr="009E4F13">
              <w:rPr>
                <w:rFonts w:ascii="Times New Roman" w:eastAsia="Times New Roman" w:hAnsi="Times New Roman" w:cs="Times New Roman"/>
                <w:sz w:val="18"/>
                <w:szCs w:val="18"/>
              </w:rPr>
              <w:t>materiały konferencyjne</w:t>
            </w:r>
          </w:p>
        </w:tc>
        <w:tc>
          <w:tcPr>
            <w:tcW w:w="2370" w:type="dxa"/>
            <w:shd w:val="clear" w:color="auto" w:fill="auto"/>
            <w:noWrap/>
            <w:vAlign w:val="center"/>
            <w:hideMark/>
          </w:tcPr>
          <w:p w14:paraId="71EFA549" w14:textId="77777777" w:rsidR="008143A0" w:rsidRPr="009E4F13" w:rsidRDefault="008143A0" w:rsidP="008143A0">
            <w:pPr>
              <w:jc w:val="center"/>
              <w:rPr>
                <w:rFonts w:ascii="Times New Roman" w:hAnsi="Times New Roman" w:cs="Times New Roman"/>
                <w:sz w:val="20"/>
                <w:szCs w:val="20"/>
              </w:rPr>
            </w:pPr>
            <w:r w:rsidRPr="009E4F13">
              <w:rPr>
                <w:rFonts w:ascii="Times New Roman" w:eastAsia="Times New Roman" w:hAnsi="Times New Roman" w:cs="Times New Roman"/>
                <w:color w:val="000000"/>
                <w:sz w:val="20"/>
                <w:szCs w:val="20"/>
              </w:rPr>
              <w:t>5,8%</w:t>
            </w:r>
          </w:p>
        </w:tc>
        <w:tc>
          <w:tcPr>
            <w:tcW w:w="2370" w:type="dxa"/>
            <w:vAlign w:val="center"/>
          </w:tcPr>
          <w:p w14:paraId="11A4C4F4" w14:textId="77777777" w:rsidR="008143A0" w:rsidRPr="009E4F13" w:rsidRDefault="008143A0" w:rsidP="008143A0">
            <w:pPr>
              <w:jc w:val="center"/>
              <w:rPr>
                <w:rFonts w:ascii="Times New Roman" w:eastAsia="Times New Roman" w:hAnsi="Times New Roman" w:cs="Times New Roman"/>
                <w:color w:val="000000"/>
                <w:sz w:val="20"/>
                <w:szCs w:val="20"/>
              </w:rPr>
            </w:pPr>
            <w:r w:rsidRPr="009E4F13">
              <w:rPr>
                <w:rFonts w:ascii="Times New Roman" w:eastAsia="Times New Roman" w:hAnsi="Times New Roman" w:cs="Times New Roman"/>
                <w:color w:val="000000"/>
                <w:sz w:val="20"/>
                <w:szCs w:val="20"/>
              </w:rPr>
              <w:t>2,1%</w:t>
            </w:r>
          </w:p>
        </w:tc>
      </w:tr>
      <w:tr w:rsidR="008143A0" w:rsidRPr="009E4F13" w14:paraId="774C1859" w14:textId="77777777" w:rsidTr="008143A0">
        <w:trPr>
          <w:trHeight w:val="446"/>
          <w:jc w:val="center"/>
        </w:trPr>
        <w:tc>
          <w:tcPr>
            <w:tcW w:w="2691" w:type="dxa"/>
            <w:shd w:val="clear" w:color="auto" w:fill="auto"/>
            <w:noWrap/>
            <w:vAlign w:val="center"/>
            <w:hideMark/>
          </w:tcPr>
          <w:p w14:paraId="075A65FD" w14:textId="77777777" w:rsidR="008143A0" w:rsidRPr="009E4F13" w:rsidRDefault="008143A0" w:rsidP="008143A0">
            <w:pPr>
              <w:jc w:val="center"/>
              <w:rPr>
                <w:rFonts w:ascii="Times New Roman" w:hAnsi="Times New Roman" w:cs="Times New Roman"/>
                <w:b/>
                <w:sz w:val="18"/>
                <w:szCs w:val="18"/>
              </w:rPr>
            </w:pPr>
            <w:r w:rsidRPr="009E4F13">
              <w:rPr>
                <w:rFonts w:ascii="Times New Roman" w:hAnsi="Times New Roman" w:cs="Times New Roman"/>
                <w:b/>
                <w:sz w:val="18"/>
                <w:szCs w:val="18"/>
              </w:rPr>
              <w:t>Suma</w:t>
            </w:r>
          </w:p>
        </w:tc>
        <w:tc>
          <w:tcPr>
            <w:tcW w:w="2370" w:type="dxa"/>
            <w:shd w:val="clear" w:color="auto" w:fill="auto"/>
            <w:noWrap/>
            <w:vAlign w:val="center"/>
            <w:hideMark/>
          </w:tcPr>
          <w:p w14:paraId="32074865" w14:textId="77777777" w:rsidR="008143A0" w:rsidRPr="009E4F13" w:rsidRDefault="008143A0" w:rsidP="008143A0">
            <w:pPr>
              <w:jc w:val="center"/>
              <w:rPr>
                <w:rFonts w:ascii="Times New Roman" w:hAnsi="Times New Roman" w:cs="Times New Roman"/>
                <w:b/>
                <w:sz w:val="20"/>
                <w:szCs w:val="20"/>
              </w:rPr>
            </w:pPr>
            <w:r w:rsidRPr="009E4F13">
              <w:rPr>
                <w:rFonts w:ascii="Times New Roman" w:hAnsi="Times New Roman" w:cs="Times New Roman"/>
                <w:b/>
                <w:sz w:val="20"/>
                <w:szCs w:val="20"/>
              </w:rPr>
              <w:t>100,00%</w:t>
            </w:r>
          </w:p>
        </w:tc>
        <w:tc>
          <w:tcPr>
            <w:tcW w:w="2370" w:type="dxa"/>
            <w:vAlign w:val="center"/>
          </w:tcPr>
          <w:p w14:paraId="5C7107FB" w14:textId="77777777" w:rsidR="008143A0" w:rsidRPr="009E4F13" w:rsidRDefault="008143A0" w:rsidP="008143A0">
            <w:pPr>
              <w:jc w:val="center"/>
              <w:rPr>
                <w:rFonts w:ascii="Times New Roman" w:hAnsi="Times New Roman" w:cs="Times New Roman"/>
                <w:b/>
                <w:sz w:val="20"/>
                <w:szCs w:val="20"/>
              </w:rPr>
            </w:pPr>
            <w:r w:rsidRPr="009E4F13">
              <w:rPr>
                <w:rFonts w:ascii="Times New Roman" w:hAnsi="Times New Roman" w:cs="Times New Roman"/>
                <w:b/>
                <w:sz w:val="20"/>
                <w:szCs w:val="20"/>
              </w:rPr>
              <w:t>100,00%</w:t>
            </w:r>
          </w:p>
        </w:tc>
      </w:tr>
    </w:tbl>
    <w:p w14:paraId="2CDD5D0B" w14:textId="77777777" w:rsidR="00414A11" w:rsidRDefault="00414A11" w:rsidP="008143A0">
      <w:pPr>
        <w:jc w:val="both"/>
        <w:rPr>
          <w:rFonts w:ascii="Times New Roman" w:hAnsi="Times New Roman" w:cs="Times New Roman"/>
          <w:sz w:val="20"/>
          <w:szCs w:val="20"/>
        </w:rPr>
      </w:pPr>
    </w:p>
    <w:p w14:paraId="3D4F0B50" w14:textId="77777777" w:rsidR="008143A0" w:rsidRPr="009E4F13" w:rsidRDefault="008143A0" w:rsidP="008143A0">
      <w:pPr>
        <w:jc w:val="both"/>
        <w:rPr>
          <w:rFonts w:ascii="Times New Roman" w:hAnsi="Times New Roman" w:cs="Times New Roman"/>
          <w:sz w:val="20"/>
          <w:szCs w:val="20"/>
        </w:rPr>
      </w:pPr>
      <w:r w:rsidRPr="009E4F13">
        <w:rPr>
          <w:rFonts w:ascii="Times New Roman" w:hAnsi="Times New Roman" w:cs="Times New Roman"/>
          <w:sz w:val="20"/>
          <w:szCs w:val="20"/>
        </w:rPr>
        <w:t xml:space="preserve">Źródło: K. Cieślikowski: </w:t>
      </w:r>
      <w:r w:rsidRPr="009E4F13">
        <w:rPr>
          <w:rFonts w:ascii="Times New Roman" w:hAnsi="Times New Roman" w:cs="Times New Roman"/>
          <w:i/>
          <w:sz w:val="20"/>
          <w:szCs w:val="20"/>
        </w:rPr>
        <w:t xml:space="preserve">Rynek turystyki biznesowej w Katowicach w 2013 roku. </w:t>
      </w:r>
      <w:r>
        <w:rPr>
          <w:rFonts w:ascii="Times New Roman" w:hAnsi="Times New Roman" w:cs="Times New Roman"/>
          <w:i/>
          <w:sz w:val="20"/>
          <w:szCs w:val="20"/>
        </w:rPr>
        <w:t>op. cit.</w:t>
      </w:r>
    </w:p>
    <w:p w14:paraId="1C71D501" w14:textId="77777777" w:rsidR="008143A0" w:rsidRPr="009E4F13" w:rsidRDefault="008143A0" w:rsidP="00414A11">
      <w:pPr>
        <w:spacing w:line="360" w:lineRule="auto"/>
        <w:jc w:val="both"/>
        <w:rPr>
          <w:rFonts w:ascii="Times New Roman" w:hAnsi="Times New Roman" w:cs="Times New Roman"/>
          <w:sz w:val="22"/>
          <w:szCs w:val="22"/>
        </w:rPr>
      </w:pPr>
    </w:p>
    <w:p w14:paraId="56055224" w14:textId="6ED8BFC3" w:rsidR="008143A0" w:rsidRPr="009E4F13" w:rsidRDefault="00425C88" w:rsidP="00414A11">
      <w:pPr>
        <w:spacing w:line="360" w:lineRule="auto"/>
        <w:jc w:val="both"/>
        <w:rPr>
          <w:rFonts w:ascii="Times New Roman" w:hAnsi="Times New Roman" w:cs="Times New Roman"/>
          <w:sz w:val="22"/>
          <w:szCs w:val="22"/>
        </w:rPr>
      </w:pPr>
      <w:r w:rsidRPr="009E4F13">
        <w:rPr>
          <w:rFonts w:ascii="Times New Roman" w:hAnsi="Times New Roman" w:cs="Times New Roman"/>
          <w:color w:val="000000" w:themeColor="text1"/>
        </w:rPr>
        <w:t>Wśród tych uczestników</w:t>
      </w:r>
      <w:r>
        <w:rPr>
          <w:rFonts w:ascii="Times New Roman" w:hAnsi="Times New Roman" w:cs="Times New Roman"/>
          <w:color w:val="000000" w:themeColor="text1"/>
        </w:rPr>
        <w:t>,</w:t>
      </w:r>
      <w:r w:rsidRPr="009E4F13">
        <w:rPr>
          <w:rFonts w:ascii="Times New Roman" w:hAnsi="Times New Roman" w:cs="Times New Roman"/>
          <w:color w:val="000000" w:themeColor="text1"/>
        </w:rPr>
        <w:t xml:space="preserve"> którzy nie nocowali w Katowicach, 10,4 % kupiło usługi gastronomiczne poza obiektem konferencyjnym za cenę średnią 72,0 zł. Natomiast 48,1 % tych co nocowali skorzystało z usług gastronomicznych poza obiektem konferencyjnym wydając na t</w:t>
      </w:r>
      <w:r>
        <w:rPr>
          <w:rFonts w:ascii="Times New Roman" w:hAnsi="Times New Roman" w:cs="Times New Roman"/>
          <w:color w:val="000000" w:themeColor="text1"/>
        </w:rPr>
        <w:t>en cel średnio 120,69 zł (tab.10</w:t>
      </w:r>
      <w:r w:rsidRPr="009E4F13">
        <w:rPr>
          <w:rFonts w:ascii="Times New Roman" w:hAnsi="Times New Roman" w:cs="Times New Roman"/>
          <w:color w:val="000000" w:themeColor="text1"/>
        </w:rPr>
        <w:t>).</w:t>
      </w:r>
    </w:p>
    <w:p w14:paraId="252D138F" w14:textId="77777777" w:rsidR="008143A0" w:rsidRDefault="008143A0" w:rsidP="008143A0">
      <w:pPr>
        <w:pStyle w:val="Napis"/>
        <w:ind w:left="993" w:hanging="993"/>
        <w:jc w:val="right"/>
      </w:pPr>
      <w:bookmarkStart w:id="11" w:name="_Toc248210490"/>
      <w:r w:rsidRPr="009E4F13">
        <w:t xml:space="preserve">Tabela </w:t>
      </w:r>
      <w:r w:rsidRPr="009E4F13">
        <w:fldChar w:fldCharType="begin"/>
      </w:r>
      <w:r w:rsidRPr="009E4F13">
        <w:instrText xml:space="preserve"> SEQ Tabela \* ARABIC </w:instrText>
      </w:r>
      <w:r w:rsidRPr="009E4F13">
        <w:fldChar w:fldCharType="separate"/>
      </w:r>
      <w:r>
        <w:rPr>
          <w:noProof/>
        </w:rPr>
        <w:t>10</w:t>
      </w:r>
      <w:r w:rsidRPr="009E4F13">
        <w:fldChar w:fldCharType="end"/>
      </w:r>
      <w:r w:rsidRPr="009E4F13">
        <w:t xml:space="preserve">. </w:t>
      </w:r>
    </w:p>
    <w:p w14:paraId="4D541EAE" w14:textId="77777777" w:rsidR="008143A0" w:rsidRPr="009E4F13" w:rsidRDefault="008143A0" w:rsidP="008143A0">
      <w:pPr>
        <w:pStyle w:val="Napis"/>
        <w:ind w:left="1134" w:hanging="1134"/>
      </w:pPr>
      <w:r w:rsidRPr="009E4F13">
        <w:rPr>
          <w:bCs w:val="0"/>
        </w:rPr>
        <w:t xml:space="preserve">Skłonność delegatów do ponoszenia kosztów wg rodzajów wraz z ich średnią wielkością </w:t>
      </w:r>
      <w:bookmarkEnd w:id="11"/>
    </w:p>
    <w:tbl>
      <w:tblPr>
        <w:tblW w:w="9286" w:type="dxa"/>
        <w:jc w:val="center"/>
        <w:tblInd w:w="-274" w:type="dxa"/>
        <w:tblBorders>
          <w:insideH w:val="single" w:sz="4" w:space="0" w:color="auto"/>
        </w:tblBorders>
        <w:tblLayout w:type="fixed"/>
        <w:tblCellMar>
          <w:left w:w="70" w:type="dxa"/>
          <w:right w:w="70" w:type="dxa"/>
        </w:tblCellMar>
        <w:tblLook w:val="04A0" w:firstRow="1" w:lastRow="0" w:firstColumn="1" w:lastColumn="0" w:noHBand="0" w:noVBand="1"/>
      </w:tblPr>
      <w:tblGrid>
        <w:gridCol w:w="2450"/>
        <w:gridCol w:w="1485"/>
        <w:gridCol w:w="1701"/>
        <w:gridCol w:w="283"/>
        <w:gridCol w:w="1560"/>
        <w:gridCol w:w="1807"/>
      </w:tblGrid>
      <w:tr w:rsidR="008143A0" w:rsidRPr="009E4F13" w14:paraId="10144D00" w14:textId="77777777" w:rsidTr="008143A0">
        <w:trPr>
          <w:trHeight w:val="315"/>
          <w:jc w:val="center"/>
        </w:trPr>
        <w:tc>
          <w:tcPr>
            <w:tcW w:w="2450" w:type="dxa"/>
            <w:shd w:val="clear" w:color="auto" w:fill="auto"/>
            <w:noWrap/>
            <w:vAlign w:val="center"/>
            <w:hideMark/>
          </w:tcPr>
          <w:p w14:paraId="2F29C8DC" w14:textId="77777777" w:rsidR="008143A0" w:rsidRPr="009E4F13" w:rsidRDefault="008143A0" w:rsidP="008143A0">
            <w:pPr>
              <w:jc w:val="center"/>
              <w:rPr>
                <w:rFonts w:ascii="Times New Roman" w:eastAsia="Times New Roman" w:hAnsi="Times New Roman" w:cs="Times New Roman"/>
                <w:b/>
                <w:color w:val="000000" w:themeColor="text1"/>
                <w:sz w:val="18"/>
                <w:szCs w:val="18"/>
              </w:rPr>
            </w:pPr>
          </w:p>
        </w:tc>
        <w:tc>
          <w:tcPr>
            <w:tcW w:w="3186" w:type="dxa"/>
            <w:gridSpan w:val="2"/>
            <w:shd w:val="clear" w:color="auto" w:fill="auto"/>
            <w:noWrap/>
            <w:vAlign w:val="center"/>
            <w:hideMark/>
          </w:tcPr>
          <w:p w14:paraId="710B7CFB" w14:textId="77777777" w:rsidR="008143A0" w:rsidRPr="009E4F13" w:rsidRDefault="008143A0" w:rsidP="008143A0">
            <w:pPr>
              <w:jc w:val="center"/>
              <w:rPr>
                <w:rFonts w:ascii="Times New Roman" w:eastAsia="Times New Roman" w:hAnsi="Times New Roman" w:cs="Times New Roman"/>
                <w:color w:val="000000" w:themeColor="text1"/>
                <w:sz w:val="18"/>
                <w:szCs w:val="18"/>
              </w:rPr>
            </w:pPr>
            <w:r w:rsidRPr="009E4F13">
              <w:rPr>
                <w:rFonts w:ascii="Times New Roman" w:eastAsia="Times New Roman" w:hAnsi="Times New Roman" w:cs="Times New Roman"/>
                <w:color w:val="000000" w:themeColor="text1"/>
                <w:sz w:val="18"/>
                <w:szCs w:val="18"/>
              </w:rPr>
              <w:t>Uczestnicy bez noclegu</w:t>
            </w:r>
          </w:p>
        </w:tc>
        <w:tc>
          <w:tcPr>
            <w:tcW w:w="283" w:type="dxa"/>
            <w:shd w:val="clear" w:color="auto" w:fill="auto"/>
            <w:noWrap/>
            <w:vAlign w:val="center"/>
            <w:hideMark/>
          </w:tcPr>
          <w:p w14:paraId="60C699F3" w14:textId="77777777" w:rsidR="008143A0" w:rsidRPr="009E4F13" w:rsidRDefault="008143A0" w:rsidP="008143A0">
            <w:pPr>
              <w:jc w:val="center"/>
              <w:rPr>
                <w:rFonts w:ascii="Times New Roman" w:eastAsia="Times New Roman" w:hAnsi="Times New Roman" w:cs="Times New Roman"/>
                <w:color w:val="000000" w:themeColor="text1"/>
                <w:sz w:val="18"/>
                <w:szCs w:val="18"/>
              </w:rPr>
            </w:pPr>
          </w:p>
        </w:tc>
        <w:tc>
          <w:tcPr>
            <w:tcW w:w="3367" w:type="dxa"/>
            <w:gridSpan w:val="2"/>
            <w:shd w:val="clear" w:color="auto" w:fill="auto"/>
            <w:noWrap/>
            <w:vAlign w:val="center"/>
            <w:hideMark/>
          </w:tcPr>
          <w:p w14:paraId="3E0CE75A" w14:textId="77777777" w:rsidR="008143A0" w:rsidRPr="009E4F13" w:rsidRDefault="008143A0" w:rsidP="008143A0">
            <w:pPr>
              <w:jc w:val="center"/>
              <w:rPr>
                <w:rFonts w:ascii="Times New Roman" w:eastAsia="Times New Roman" w:hAnsi="Times New Roman" w:cs="Times New Roman"/>
                <w:color w:val="000000" w:themeColor="text1"/>
                <w:sz w:val="18"/>
                <w:szCs w:val="18"/>
              </w:rPr>
            </w:pPr>
            <w:r w:rsidRPr="009E4F13">
              <w:rPr>
                <w:rFonts w:ascii="Times New Roman" w:eastAsia="Times New Roman" w:hAnsi="Times New Roman" w:cs="Times New Roman"/>
                <w:color w:val="000000" w:themeColor="text1"/>
                <w:sz w:val="18"/>
                <w:szCs w:val="18"/>
              </w:rPr>
              <w:t>Uczestnicy z noclegiem</w:t>
            </w:r>
          </w:p>
        </w:tc>
      </w:tr>
      <w:tr w:rsidR="008143A0" w:rsidRPr="009E4F13" w14:paraId="0AF2DC9F" w14:textId="77777777" w:rsidTr="008143A0">
        <w:trPr>
          <w:trHeight w:val="315"/>
          <w:jc w:val="center"/>
        </w:trPr>
        <w:tc>
          <w:tcPr>
            <w:tcW w:w="2450" w:type="dxa"/>
            <w:shd w:val="clear" w:color="auto" w:fill="auto"/>
            <w:noWrap/>
            <w:vAlign w:val="center"/>
            <w:hideMark/>
          </w:tcPr>
          <w:p w14:paraId="75DAC2A7" w14:textId="77777777" w:rsidR="008143A0" w:rsidRPr="009E4F13" w:rsidRDefault="008143A0" w:rsidP="008143A0">
            <w:pPr>
              <w:jc w:val="center"/>
              <w:rPr>
                <w:rFonts w:ascii="Times New Roman" w:eastAsia="Times New Roman" w:hAnsi="Times New Roman" w:cs="Times New Roman"/>
                <w:b/>
                <w:color w:val="000000" w:themeColor="text1"/>
                <w:sz w:val="18"/>
                <w:szCs w:val="18"/>
              </w:rPr>
            </w:pPr>
          </w:p>
        </w:tc>
        <w:tc>
          <w:tcPr>
            <w:tcW w:w="1485" w:type="dxa"/>
            <w:shd w:val="clear" w:color="auto" w:fill="auto"/>
            <w:noWrap/>
            <w:vAlign w:val="center"/>
            <w:hideMark/>
          </w:tcPr>
          <w:p w14:paraId="646A6FB6" w14:textId="77777777" w:rsidR="008143A0" w:rsidRPr="009E4F13" w:rsidRDefault="008143A0" w:rsidP="008143A0">
            <w:pPr>
              <w:jc w:val="center"/>
              <w:rPr>
                <w:rFonts w:ascii="Times New Roman" w:eastAsia="Times New Roman" w:hAnsi="Times New Roman" w:cs="Times New Roman"/>
                <w:color w:val="000000" w:themeColor="text1"/>
                <w:sz w:val="18"/>
                <w:szCs w:val="18"/>
              </w:rPr>
            </w:pPr>
            <w:r w:rsidRPr="009E4F13">
              <w:rPr>
                <w:rFonts w:ascii="Times New Roman" w:eastAsia="Times New Roman" w:hAnsi="Times New Roman" w:cs="Times New Roman"/>
                <w:color w:val="000000" w:themeColor="text1"/>
                <w:sz w:val="18"/>
                <w:szCs w:val="18"/>
              </w:rPr>
              <w:t xml:space="preserve">Średnia wielkość wydatków tych co je ponieśli </w:t>
            </w:r>
          </w:p>
        </w:tc>
        <w:tc>
          <w:tcPr>
            <w:tcW w:w="1701" w:type="dxa"/>
            <w:vAlign w:val="center"/>
          </w:tcPr>
          <w:p w14:paraId="624C7A73" w14:textId="77777777" w:rsidR="008143A0" w:rsidRPr="009E4F13" w:rsidRDefault="008143A0" w:rsidP="008143A0">
            <w:pPr>
              <w:jc w:val="center"/>
              <w:rPr>
                <w:rFonts w:ascii="Times New Roman" w:eastAsia="Times New Roman" w:hAnsi="Times New Roman" w:cs="Times New Roman"/>
                <w:color w:val="000000" w:themeColor="text1"/>
                <w:sz w:val="18"/>
                <w:szCs w:val="18"/>
              </w:rPr>
            </w:pPr>
            <w:r w:rsidRPr="009E4F13">
              <w:rPr>
                <w:rFonts w:ascii="Times New Roman" w:eastAsia="Times New Roman" w:hAnsi="Times New Roman" w:cs="Times New Roman"/>
                <w:color w:val="000000" w:themeColor="text1"/>
                <w:sz w:val="18"/>
                <w:szCs w:val="18"/>
              </w:rPr>
              <w:t>Odsetek uczestników ponoszących te wydatki</w:t>
            </w:r>
          </w:p>
        </w:tc>
        <w:tc>
          <w:tcPr>
            <w:tcW w:w="283" w:type="dxa"/>
            <w:shd w:val="clear" w:color="auto" w:fill="auto"/>
            <w:noWrap/>
            <w:vAlign w:val="center"/>
            <w:hideMark/>
          </w:tcPr>
          <w:p w14:paraId="2B0265BF" w14:textId="77777777" w:rsidR="008143A0" w:rsidRPr="009E4F13" w:rsidRDefault="008143A0" w:rsidP="008143A0">
            <w:pPr>
              <w:jc w:val="center"/>
              <w:rPr>
                <w:rFonts w:ascii="Times New Roman" w:eastAsia="Times New Roman" w:hAnsi="Times New Roman" w:cs="Times New Roman"/>
                <w:color w:val="000000" w:themeColor="text1"/>
                <w:sz w:val="18"/>
                <w:szCs w:val="18"/>
              </w:rPr>
            </w:pPr>
          </w:p>
        </w:tc>
        <w:tc>
          <w:tcPr>
            <w:tcW w:w="1560" w:type="dxa"/>
            <w:shd w:val="clear" w:color="auto" w:fill="auto"/>
            <w:noWrap/>
            <w:vAlign w:val="center"/>
            <w:hideMark/>
          </w:tcPr>
          <w:p w14:paraId="16060D4E" w14:textId="77777777" w:rsidR="008143A0" w:rsidRPr="009E4F13" w:rsidRDefault="008143A0" w:rsidP="008143A0">
            <w:pPr>
              <w:jc w:val="center"/>
              <w:rPr>
                <w:rFonts w:ascii="Times New Roman" w:eastAsia="Times New Roman" w:hAnsi="Times New Roman" w:cs="Times New Roman"/>
                <w:color w:val="000000" w:themeColor="text1"/>
                <w:sz w:val="18"/>
                <w:szCs w:val="18"/>
              </w:rPr>
            </w:pPr>
            <w:r w:rsidRPr="009E4F13">
              <w:rPr>
                <w:rFonts w:ascii="Times New Roman" w:eastAsia="Times New Roman" w:hAnsi="Times New Roman" w:cs="Times New Roman"/>
                <w:color w:val="000000" w:themeColor="text1"/>
                <w:sz w:val="18"/>
                <w:szCs w:val="18"/>
              </w:rPr>
              <w:t xml:space="preserve">Średnia wielkość wydatków tych co je ponieśli </w:t>
            </w:r>
          </w:p>
        </w:tc>
        <w:tc>
          <w:tcPr>
            <w:tcW w:w="1807" w:type="dxa"/>
            <w:vAlign w:val="center"/>
          </w:tcPr>
          <w:p w14:paraId="013936AB" w14:textId="77777777" w:rsidR="008143A0" w:rsidRPr="009E4F13" w:rsidRDefault="008143A0" w:rsidP="008143A0">
            <w:pPr>
              <w:jc w:val="center"/>
              <w:rPr>
                <w:rFonts w:ascii="Times New Roman" w:eastAsia="Times New Roman" w:hAnsi="Times New Roman" w:cs="Times New Roman"/>
                <w:color w:val="000000" w:themeColor="text1"/>
                <w:sz w:val="18"/>
                <w:szCs w:val="18"/>
              </w:rPr>
            </w:pPr>
            <w:r w:rsidRPr="009E4F13">
              <w:rPr>
                <w:rFonts w:ascii="Times New Roman" w:eastAsia="Times New Roman" w:hAnsi="Times New Roman" w:cs="Times New Roman"/>
                <w:color w:val="000000" w:themeColor="text1"/>
                <w:sz w:val="18"/>
                <w:szCs w:val="18"/>
              </w:rPr>
              <w:t>Odsetek uczestników ponoszących te wydatki</w:t>
            </w:r>
          </w:p>
        </w:tc>
      </w:tr>
      <w:tr w:rsidR="008143A0" w:rsidRPr="009E4F13" w14:paraId="17BE59BC" w14:textId="77777777" w:rsidTr="008143A0">
        <w:trPr>
          <w:trHeight w:val="474"/>
          <w:jc w:val="center"/>
        </w:trPr>
        <w:tc>
          <w:tcPr>
            <w:tcW w:w="2450" w:type="dxa"/>
            <w:shd w:val="clear" w:color="auto" w:fill="auto"/>
            <w:noWrap/>
            <w:vAlign w:val="center"/>
            <w:hideMark/>
          </w:tcPr>
          <w:p w14:paraId="22067078" w14:textId="77777777" w:rsidR="008143A0" w:rsidRPr="009E4F13" w:rsidRDefault="008143A0" w:rsidP="008143A0">
            <w:pPr>
              <w:jc w:val="center"/>
              <w:rPr>
                <w:rFonts w:ascii="Times New Roman" w:hAnsi="Times New Roman" w:cs="Times New Roman"/>
                <w:color w:val="000000" w:themeColor="text1"/>
                <w:sz w:val="18"/>
                <w:szCs w:val="18"/>
              </w:rPr>
            </w:pPr>
            <w:r w:rsidRPr="009E4F13">
              <w:rPr>
                <w:rFonts w:ascii="Times New Roman" w:eastAsia="Times New Roman" w:hAnsi="Times New Roman" w:cs="Times New Roman"/>
                <w:color w:val="000000"/>
                <w:sz w:val="18"/>
                <w:szCs w:val="18"/>
              </w:rPr>
              <w:t>usługi noclegowe</w:t>
            </w:r>
          </w:p>
        </w:tc>
        <w:tc>
          <w:tcPr>
            <w:tcW w:w="1485" w:type="dxa"/>
            <w:shd w:val="clear" w:color="auto" w:fill="auto"/>
            <w:noWrap/>
            <w:vAlign w:val="center"/>
            <w:hideMark/>
          </w:tcPr>
          <w:p w14:paraId="6C156D1E" w14:textId="77777777" w:rsidR="008143A0" w:rsidRPr="009E4F13" w:rsidRDefault="008143A0" w:rsidP="008143A0">
            <w:pPr>
              <w:jc w:val="center"/>
              <w:rPr>
                <w:rFonts w:ascii="Times New Roman" w:hAnsi="Times New Roman" w:cs="Times New Roman"/>
                <w:color w:val="000000" w:themeColor="text1"/>
                <w:sz w:val="20"/>
                <w:szCs w:val="20"/>
              </w:rPr>
            </w:pPr>
            <w:r w:rsidRPr="009E4F13">
              <w:rPr>
                <w:rFonts w:ascii="Times New Roman" w:eastAsia="Times New Roman" w:hAnsi="Times New Roman" w:cs="Times New Roman"/>
                <w:color w:val="000000"/>
                <w:sz w:val="20"/>
                <w:szCs w:val="20"/>
              </w:rPr>
              <w:t>0,00</w:t>
            </w:r>
          </w:p>
        </w:tc>
        <w:tc>
          <w:tcPr>
            <w:tcW w:w="1701" w:type="dxa"/>
            <w:vAlign w:val="center"/>
          </w:tcPr>
          <w:p w14:paraId="0D07FEF7" w14:textId="77777777" w:rsidR="008143A0" w:rsidRPr="009E4F13" w:rsidRDefault="008143A0" w:rsidP="008143A0">
            <w:pPr>
              <w:ind w:right="321"/>
              <w:jc w:val="center"/>
              <w:rPr>
                <w:rFonts w:ascii="Times New Roman" w:hAnsi="Times New Roman" w:cs="Times New Roman"/>
                <w:color w:val="000000" w:themeColor="text1"/>
                <w:sz w:val="20"/>
                <w:szCs w:val="20"/>
              </w:rPr>
            </w:pPr>
            <w:r w:rsidRPr="009E4F13">
              <w:rPr>
                <w:rFonts w:ascii="Times New Roman" w:eastAsia="Times New Roman" w:hAnsi="Times New Roman" w:cs="Times New Roman"/>
                <w:color w:val="000000"/>
                <w:sz w:val="20"/>
                <w:szCs w:val="20"/>
              </w:rPr>
              <w:t>0,0%</w:t>
            </w:r>
          </w:p>
        </w:tc>
        <w:tc>
          <w:tcPr>
            <w:tcW w:w="283" w:type="dxa"/>
            <w:shd w:val="clear" w:color="auto" w:fill="auto"/>
            <w:noWrap/>
            <w:vAlign w:val="center"/>
            <w:hideMark/>
          </w:tcPr>
          <w:p w14:paraId="06CD0A8C" w14:textId="77777777" w:rsidR="008143A0" w:rsidRPr="009E4F13" w:rsidRDefault="008143A0" w:rsidP="008143A0">
            <w:pPr>
              <w:jc w:val="center"/>
              <w:rPr>
                <w:rFonts w:ascii="Times New Roman" w:hAnsi="Times New Roman" w:cs="Times New Roman"/>
                <w:color w:val="000000" w:themeColor="text1"/>
                <w:sz w:val="20"/>
                <w:szCs w:val="20"/>
              </w:rPr>
            </w:pPr>
          </w:p>
        </w:tc>
        <w:tc>
          <w:tcPr>
            <w:tcW w:w="1560" w:type="dxa"/>
            <w:shd w:val="clear" w:color="auto" w:fill="auto"/>
            <w:noWrap/>
            <w:vAlign w:val="center"/>
            <w:hideMark/>
          </w:tcPr>
          <w:p w14:paraId="031A54E9" w14:textId="77777777" w:rsidR="008143A0" w:rsidRPr="009E4F13" w:rsidRDefault="008143A0" w:rsidP="008143A0">
            <w:pPr>
              <w:jc w:val="center"/>
              <w:rPr>
                <w:rFonts w:ascii="Times New Roman" w:hAnsi="Times New Roman" w:cs="Times New Roman"/>
                <w:color w:val="000000" w:themeColor="text1"/>
                <w:sz w:val="20"/>
                <w:szCs w:val="20"/>
              </w:rPr>
            </w:pPr>
            <w:r w:rsidRPr="009E4F13">
              <w:rPr>
                <w:rFonts w:ascii="Times New Roman" w:eastAsia="Times New Roman" w:hAnsi="Times New Roman" w:cs="Times New Roman"/>
                <w:color w:val="000000"/>
                <w:sz w:val="20"/>
                <w:szCs w:val="20"/>
              </w:rPr>
              <w:t>282,81</w:t>
            </w:r>
          </w:p>
        </w:tc>
        <w:tc>
          <w:tcPr>
            <w:tcW w:w="1807" w:type="dxa"/>
            <w:vAlign w:val="center"/>
          </w:tcPr>
          <w:p w14:paraId="24381D07" w14:textId="77777777" w:rsidR="008143A0" w:rsidRPr="009E4F13" w:rsidRDefault="008143A0" w:rsidP="008143A0">
            <w:pPr>
              <w:ind w:right="178"/>
              <w:jc w:val="center"/>
              <w:rPr>
                <w:rFonts w:ascii="Times New Roman" w:hAnsi="Times New Roman" w:cs="Times New Roman"/>
                <w:color w:val="000000" w:themeColor="text1"/>
                <w:sz w:val="20"/>
                <w:szCs w:val="20"/>
              </w:rPr>
            </w:pPr>
            <w:r w:rsidRPr="009E4F13">
              <w:rPr>
                <w:rFonts w:ascii="Times New Roman" w:eastAsia="Times New Roman" w:hAnsi="Times New Roman" w:cs="Times New Roman"/>
                <w:color w:val="000000"/>
                <w:sz w:val="20"/>
                <w:szCs w:val="20"/>
              </w:rPr>
              <w:t>100,0%</w:t>
            </w:r>
          </w:p>
        </w:tc>
      </w:tr>
      <w:tr w:rsidR="008143A0" w:rsidRPr="009E4F13" w14:paraId="344C7263" w14:textId="77777777" w:rsidTr="008143A0">
        <w:trPr>
          <w:trHeight w:val="474"/>
          <w:jc w:val="center"/>
        </w:trPr>
        <w:tc>
          <w:tcPr>
            <w:tcW w:w="2450" w:type="dxa"/>
            <w:shd w:val="clear" w:color="auto" w:fill="auto"/>
            <w:noWrap/>
            <w:vAlign w:val="center"/>
            <w:hideMark/>
          </w:tcPr>
          <w:p w14:paraId="7C8530A6" w14:textId="77777777" w:rsidR="008143A0" w:rsidRPr="009E4F13" w:rsidRDefault="008143A0" w:rsidP="008143A0">
            <w:pPr>
              <w:jc w:val="center"/>
              <w:rPr>
                <w:rFonts w:ascii="Times New Roman" w:hAnsi="Times New Roman" w:cs="Times New Roman"/>
                <w:color w:val="000000" w:themeColor="text1"/>
                <w:sz w:val="18"/>
                <w:szCs w:val="18"/>
              </w:rPr>
            </w:pPr>
            <w:r w:rsidRPr="009E4F13">
              <w:rPr>
                <w:rFonts w:ascii="Times New Roman" w:eastAsia="Times New Roman" w:hAnsi="Times New Roman" w:cs="Times New Roman"/>
                <w:color w:val="000000"/>
                <w:sz w:val="18"/>
                <w:szCs w:val="18"/>
              </w:rPr>
              <w:t>usługi gastronomiczne w obiekcie konferencyjnym</w:t>
            </w:r>
          </w:p>
        </w:tc>
        <w:tc>
          <w:tcPr>
            <w:tcW w:w="1485" w:type="dxa"/>
            <w:shd w:val="clear" w:color="auto" w:fill="auto"/>
            <w:noWrap/>
            <w:vAlign w:val="center"/>
            <w:hideMark/>
          </w:tcPr>
          <w:p w14:paraId="1CA848B8" w14:textId="77777777" w:rsidR="008143A0" w:rsidRPr="009E4F13" w:rsidRDefault="008143A0" w:rsidP="008143A0">
            <w:pPr>
              <w:jc w:val="center"/>
              <w:rPr>
                <w:rFonts w:ascii="Times New Roman" w:hAnsi="Times New Roman" w:cs="Times New Roman"/>
                <w:color w:val="000000" w:themeColor="text1"/>
                <w:sz w:val="20"/>
                <w:szCs w:val="20"/>
              </w:rPr>
            </w:pPr>
            <w:r w:rsidRPr="009E4F13">
              <w:rPr>
                <w:rFonts w:ascii="Times New Roman" w:eastAsia="Times New Roman" w:hAnsi="Times New Roman" w:cs="Times New Roman"/>
                <w:color w:val="000000"/>
                <w:sz w:val="20"/>
                <w:szCs w:val="20"/>
              </w:rPr>
              <w:t>60,00</w:t>
            </w:r>
          </w:p>
        </w:tc>
        <w:tc>
          <w:tcPr>
            <w:tcW w:w="1701" w:type="dxa"/>
            <w:vAlign w:val="center"/>
          </w:tcPr>
          <w:p w14:paraId="7EFA6A6B" w14:textId="77777777" w:rsidR="008143A0" w:rsidRPr="009E4F13" w:rsidRDefault="008143A0" w:rsidP="008143A0">
            <w:pPr>
              <w:ind w:right="321"/>
              <w:jc w:val="center"/>
              <w:rPr>
                <w:rFonts w:ascii="Times New Roman" w:hAnsi="Times New Roman" w:cs="Times New Roman"/>
                <w:color w:val="000000" w:themeColor="text1"/>
                <w:sz w:val="20"/>
                <w:szCs w:val="20"/>
              </w:rPr>
            </w:pPr>
            <w:r w:rsidRPr="009E4F13">
              <w:rPr>
                <w:rFonts w:ascii="Times New Roman" w:eastAsia="Times New Roman" w:hAnsi="Times New Roman" w:cs="Times New Roman"/>
                <w:color w:val="000000"/>
                <w:sz w:val="20"/>
                <w:szCs w:val="20"/>
              </w:rPr>
              <w:t>6,4%</w:t>
            </w:r>
          </w:p>
        </w:tc>
        <w:tc>
          <w:tcPr>
            <w:tcW w:w="283" w:type="dxa"/>
            <w:shd w:val="clear" w:color="auto" w:fill="auto"/>
            <w:noWrap/>
            <w:vAlign w:val="center"/>
            <w:hideMark/>
          </w:tcPr>
          <w:p w14:paraId="67D1982F" w14:textId="77777777" w:rsidR="008143A0" w:rsidRPr="009E4F13" w:rsidRDefault="008143A0" w:rsidP="008143A0">
            <w:pPr>
              <w:jc w:val="center"/>
              <w:rPr>
                <w:rFonts w:ascii="Times New Roman" w:hAnsi="Times New Roman" w:cs="Times New Roman"/>
                <w:color w:val="000000" w:themeColor="text1"/>
                <w:sz w:val="20"/>
                <w:szCs w:val="20"/>
              </w:rPr>
            </w:pPr>
          </w:p>
        </w:tc>
        <w:tc>
          <w:tcPr>
            <w:tcW w:w="1560" w:type="dxa"/>
            <w:shd w:val="clear" w:color="auto" w:fill="auto"/>
            <w:noWrap/>
            <w:vAlign w:val="center"/>
            <w:hideMark/>
          </w:tcPr>
          <w:p w14:paraId="6EC83317" w14:textId="77777777" w:rsidR="008143A0" w:rsidRPr="009E4F13" w:rsidRDefault="008143A0" w:rsidP="008143A0">
            <w:pPr>
              <w:jc w:val="center"/>
              <w:rPr>
                <w:rFonts w:ascii="Times New Roman" w:hAnsi="Times New Roman" w:cs="Times New Roman"/>
                <w:color w:val="000000" w:themeColor="text1"/>
                <w:sz w:val="20"/>
                <w:szCs w:val="20"/>
              </w:rPr>
            </w:pPr>
            <w:r w:rsidRPr="009E4F13">
              <w:rPr>
                <w:rFonts w:ascii="Times New Roman" w:eastAsia="Times New Roman" w:hAnsi="Times New Roman" w:cs="Times New Roman"/>
                <w:color w:val="000000"/>
                <w:sz w:val="20"/>
                <w:szCs w:val="20"/>
              </w:rPr>
              <w:t>137,14</w:t>
            </w:r>
          </w:p>
        </w:tc>
        <w:tc>
          <w:tcPr>
            <w:tcW w:w="1807" w:type="dxa"/>
            <w:vAlign w:val="center"/>
          </w:tcPr>
          <w:p w14:paraId="115CE867" w14:textId="77777777" w:rsidR="008143A0" w:rsidRPr="009E4F13" w:rsidRDefault="008143A0" w:rsidP="008143A0">
            <w:pPr>
              <w:ind w:right="178"/>
              <w:jc w:val="center"/>
              <w:rPr>
                <w:rFonts w:ascii="Times New Roman" w:hAnsi="Times New Roman" w:cs="Times New Roman"/>
                <w:color w:val="000000" w:themeColor="text1"/>
                <w:sz w:val="20"/>
                <w:szCs w:val="20"/>
              </w:rPr>
            </w:pPr>
            <w:r w:rsidRPr="009E4F13">
              <w:rPr>
                <w:rFonts w:ascii="Times New Roman" w:eastAsia="Times New Roman" w:hAnsi="Times New Roman" w:cs="Times New Roman"/>
                <w:color w:val="000000"/>
                <w:sz w:val="20"/>
                <w:szCs w:val="20"/>
              </w:rPr>
              <w:t>48,1%</w:t>
            </w:r>
          </w:p>
        </w:tc>
      </w:tr>
      <w:tr w:rsidR="008143A0" w:rsidRPr="006D0FC0" w14:paraId="3174E0BE" w14:textId="77777777" w:rsidTr="008143A0">
        <w:trPr>
          <w:trHeight w:val="474"/>
          <w:jc w:val="center"/>
        </w:trPr>
        <w:tc>
          <w:tcPr>
            <w:tcW w:w="2450" w:type="dxa"/>
            <w:shd w:val="clear" w:color="auto" w:fill="auto"/>
            <w:noWrap/>
            <w:vAlign w:val="center"/>
            <w:hideMark/>
          </w:tcPr>
          <w:p w14:paraId="73CD17EE" w14:textId="77777777" w:rsidR="008143A0" w:rsidRPr="006D0FC0" w:rsidRDefault="008143A0" w:rsidP="008143A0">
            <w:pPr>
              <w:jc w:val="center"/>
              <w:rPr>
                <w:rFonts w:ascii="Times New Roman" w:hAnsi="Times New Roman" w:cs="Times New Roman"/>
                <w:color w:val="000000" w:themeColor="text1"/>
                <w:sz w:val="18"/>
                <w:szCs w:val="18"/>
              </w:rPr>
            </w:pPr>
            <w:r w:rsidRPr="006D0FC0">
              <w:rPr>
                <w:rFonts w:ascii="Times New Roman" w:eastAsia="Times New Roman" w:hAnsi="Times New Roman" w:cs="Times New Roman"/>
                <w:color w:val="000000"/>
                <w:sz w:val="18"/>
                <w:szCs w:val="18"/>
              </w:rPr>
              <w:t>usługi gastronomiczne poza obiektem konferencyjnym</w:t>
            </w:r>
          </w:p>
        </w:tc>
        <w:tc>
          <w:tcPr>
            <w:tcW w:w="1485" w:type="dxa"/>
            <w:shd w:val="clear" w:color="auto" w:fill="auto"/>
            <w:noWrap/>
            <w:vAlign w:val="center"/>
            <w:hideMark/>
          </w:tcPr>
          <w:p w14:paraId="1E1BE8BE" w14:textId="77777777" w:rsidR="008143A0" w:rsidRPr="006D0FC0" w:rsidRDefault="008143A0" w:rsidP="008143A0">
            <w:pPr>
              <w:jc w:val="center"/>
              <w:rPr>
                <w:rFonts w:ascii="Times New Roman" w:hAnsi="Times New Roman" w:cs="Times New Roman"/>
                <w:color w:val="000000" w:themeColor="text1"/>
                <w:sz w:val="20"/>
                <w:szCs w:val="20"/>
              </w:rPr>
            </w:pPr>
            <w:r w:rsidRPr="006D0FC0">
              <w:rPr>
                <w:rFonts w:ascii="Times New Roman" w:eastAsia="Times New Roman" w:hAnsi="Times New Roman" w:cs="Times New Roman"/>
                <w:color w:val="000000"/>
                <w:sz w:val="20"/>
                <w:szCs w:val="20"/>
              </w:rPr>
              <w:t>72,00</w:t>
            </w:r>
          </w:p>
        </w:tc>
        <w:tc>
          <w:tcPr>
            <w:tcW w:w="1701" w:type="dxa"/>
            <w:vAlign w:val="center"/>
          </w:tcPr>
          <w:p w14:paraId="2FBC8E6D" w14:textId="77777777" w:rsidR="008143A0" w:rsidRPr="006D0FC0" w:rsidRDefault="008143A0" w:rsidP="008143A0">
            <w:pPr>
              <w:ind w:right="321"/>
              <w:jc w:val="center"/>
              <w:rPr>
                <w:rFonts w:ascii="Times New Roman" w:hAnsi="Times New Roman" w:cs="Times New Roman"/>
                <w:color w:val="000000" w:themeColor="text1"/>
                <w:sz w:val="20"/>
                <w:szCs w:val="20"/>
              </w:rPr>
            </w:pPr>
            <w:r w:rsidRPr="006D0FC0">
              <w:rPr>
                <w:rFonts w:ascii="Times New Roman" w:eastAsia="Times New Roman" w:hAnsi="Times New Roman" w:cs="Times New Roman"/>
                <w:color w:val="000000"/>
                <w:sz w:val="20"/>
                <w:szCs w:val="20"/>
              </w:rPr>
              <w:t>10,4%</w:t>
            </w:r>
          </w:p>
        </w:tc>
        <w:tc>
          <w:tcPr>
            <w:tcW w:w="283" w:type="dxa"/>
            <w:shd w:val="clear" w:color="auto" w:fill="auto"/>
            <w:noWrap/>
            <w:vAlign w:val="center"/>
            <w:hideMark/>
          </w:tcPr>
          <w:p w14:paraId="6FB0B76C" w14:textId="77777777" w:rsidR="008143A0" w:rsidRPr="006D0FC0" w:rsidRDefault="008143A0" w:rsidP="008143A0">
            <w:pPr>
              <w:jc w:val="center"/>
              <w:rPr>
                <w:rFonts w:ascii="Times New Roman" w:hAnsi="Times New Roman" w:cs="Times New Roman"/>
                <w:color w:val="000000" w:themeColor="text1"/>
                <w:sz w:val="20"/>
                <w:szCs w:val="20"/>
              </w:rPr>
            </w:pPr>
          </w:p>
        </w:tc>
        <w:tc>
          <w:tcPr>
            <w:tcW w:w="1560" w:type="dxa"/>
            <w:shd w:val="clear" w:color="auto" w:fill="auto"/>
            <w:noWrap/>
            <w:vAlign w:val="center"/>
            <w:hideMark/>
          </w:tcPr>
          <w:p w14:paraId="6979A38B" w14:textId="77777777" w:rsidR="008143A0" w:rsidRPr="006D0FC0" w:rsidRDefault="008143A0" w:rsidP="008143A0">
            <w:pPr>
              <w:jc w:val="center"/>
              <w:rPr>
                <w:rFonts w:ascii="Times New Roman" w:hAnsi="Times New Roman" w:cs="Times New Roman"/>
                <w:color w:val="000000" w:themeColor="text1"/>
                <w:sz w:val="20"/>
                <w:szCs w:val="20"/>
              </w:rPr>
            </w:pPr>
            <w:r w:rsidRPr="006D0FC0">
              <w:rPr>
                <w:rFonts w:ascii="Times New Roman" w:eastAsia="Times New Roman" w:hAnsi="Times New Roman" w:cs="Times New Roman"/>
                <w:color w:val="000000"/>
                <w:sz w:val="20"/>
                <w:szCs w:val="20"/>
              </w:rPr>
              <w:t>120,69</w:t>
            </w:r>
          </w:p>
        </w:tc>
        <w:tc>
          <w:tcPr>
            <w:tcW w:w="1807" w:type="dxa"/>
            <w:vAlign w:val="center"/>
          </w:tcPr>
          <w:p w14:paraId="7A83E854" w14:textId="77777777" w:rsidR="008143A0" w:rsidRPr="006D0FC0" w:rsidRDefault="008143A0" w:rsidP="008143A0">
            <w:pPr>
              <w:ind w:right="178"/>
              <w:jc w:val="center"/>
              <w:rPr>
                <w:rFonts w:ascii="Times New Roman" w:hAnsi="Times New Roman" w:cs="Times New Roman"/>
                <w:color w:val="000000" w:themeColor="text1"/>
                <w:sz w:val="20"/>
                <w:szCs w:val="20"/>
              </w:rPr>
            </w:pPr>
            <w:r w:rsidRPr="006D0FC0">
              <w:rPr>
                <w:rFonts w:ascii="Times New Roman" w:eastAsia="Times New Roman" w:hAnsi="Times New Roman" w:cs="Times New Roman"/>
                <w:color w:val="000000"/>
                <w:sz w:val="20"/>
                <w:szCs w:val="20"/>
              </w:rPr>
              <w:t>61,8%</w:t>
            </w:r>
          </w:p>
        </w:tc>
      </w:tr>
      <w:tr w:rsidR="008143A0" w:rsidRPr="009E4F13" w14:paraId="3EC61EC5" w14:textId="77777777" w:rsidTr="008143A0">
        <w:trPr>
          <w:trHeight w:val="474"/>
          <w:jc w:val="center"/>
        </w:trPr>
        <w:tc>
          <w:tcPr>
            <w:tcW w:w="2450" w:type="dxa"/>
            <w:shd w:val="clear" w:color="auto" w:fill="auto"/>
            <w:noWrap/>
            <w:vAlign w:val="center"/>
            <w:hideMark/>
          </w:tcPr>
          <w:p w14:paraId="6BDEA72C" w14:textId="77777777" w:rsidR="008143A0" w:rsidRPr="009E4F13" w:rsidRDefault="008143A0" w:rsidP="008143A0">
            <w:pPr>
              <w:jc w:val="center"/>
              <w:rPr>
                <w:rFonts w:ascii="Times New Roman" w:hAnsi="Times New Roman" w:cs="Times New Roman"/>
                <w:color w:val="000000" w:themeColor="text1"/>
                <w:sz w:val="18"/>
                <w:szCs w:val="18"/>
              </w:rPr>
            </w:pPr>
            <w:r w:rsidRPr="009E4F13">
              <w:rPr>
                <w:rFonts w:ascii="Times New Roman" w:eastAsia="Times New Roman" w:hAnsi="Times New Roman" w:cs="Times New Roman"/>
                <w:color w:val="000000"/>
                <w:sz w:val="18"/>
                <w:szCs w:val="18"/>
              </w:rPr>
              <w:t>materiały konferencyjne</w:t>
            </w:r>
          </w:p>
        </w:tc>
        <w:tc>
          <w:tcPr>
            <w:tcW w:w="1485" w:type="dxa"/>
            <w:shd w:val="clear" w:color="auto" w:fill="auto"/>
            <w:noWrap/>
            <w:vAlign w:val="center"/>
            <w:hideMark/>
          </w:tcPr>
          <w:p w14:paraId="57C02E21" w14:textId="77777777" w:rsidR="008143A0" w:rsidRPr="009E4F13" w:rsidRDefault="008143A0" w:rsidP="008143A0">
            <w:pPr>
              <w:jc w:val="center"/>
              <w:rPr>
                <w:rFonts w:ascii="Times New Roman" w:hAnsi="Times New Roman" w:cs="Times New Roman"/>
                <w:color w:val="000000" w:themeColor="text1"/>
                <w:sz w:val="20"/>
                <w:szCs w:val="20"/>
              </w:rPr>
            </w:pPr>
            <w:r w:rsidRPr="009E4F13">
              <w:rPr>
                <w:rFonts w:ascii="Times New Roman" w:eastAsia="Times New Roman" w:hAnsi="Times New Roman" w:cs="Times New Roman"/>
                <w:color w:val="000000"/>
                <w:sz w:val="20"/>
                <w:szCs w:val="20"/>
              </w:rPr>
              <w:t>206,67</w:t>
            </w:r>
          </w:p>
        </w:tc>
        <w:tc>
          <w:tcPr>
            <w:tcW w:w="1701" w:type="dxa"/>
            <w:vAlign w:val="center"/>
          </w:tcPr>
          <w:p w14:paraId="02B69E9B" w14:textId="77777777" w:rsidR="008143A0" w:rsidRPr="009E4F13" w:rsidRDefault="008143A0" w:rsidP="008143A0">
            <w:pPr>
              <w:ind w:right="321"/>
              <w:jc w:val="center"/>
              <w:rPr>
                <w:rFonts w:ascii="Times New Roman" w:hAnsi="Times New Roman" w:cs="Times New Roman"/>
                <w:color w:val="000000" w:themeColor="text1"/>
                <w:sz w:val="20"/>
                <w:szCs w:val="20"/>
              </w:rPr>
            </w:pPr>
            <w:r w:rsidRPr="009E4F13">
              <w:rPr>
                <w:rFonts w:ascii="Times New Roman" w:eastAsia="Times New Roman" w:hAnsi="Times New Roman" w:cs="Times New Roman"/>
                <w:color w:val="000000"/>
                <w:sz w:val="20"/>
                <w:szCs w:val="20"/>
              </w:rPr>
              <w:t>1,6%</w:t>
            </w:r>
          </w:p>
        </w:tc>
        <w:tc>
          <w:tcPr>
            <w:tcW w:w="283" w:type="dxa"/>
            <w:shd w:val="clear" w:color="auto" w:fill="auto"/>
            <w:noWrap/>
            <w:vAlign w:val="center"/>
            <w:hideMark/>
          </w:tcPr>
          <w:p w14:paraId="32EF4207" w14:textId="77777777" w:rsidR="008143A0" w:rsidRPr="009E4F13" w:rsidRDefault="008143A0" w:rsidP="008143A0">
            <w:pPr>
              <w:jc w:val="center"/>
              <w:rPr>
                <w:rFonts w:ascii="Times New Roman" w:hAnsi="Times New Roman" w:cs="Times New Roman"/>
                <w:color w:val="000000" w:themeColor="text1"/>
                <w:sz w:val="20"/>
                <w:szCs w:val="20"/>
              </w:rPr>
            </w:pPr>
          </w:p>
        </w:tc>
        <w:tc>
          <w:tcPr>
            <w:tcW w:w="1560" w:type="dxa"/>
            <w:shd w:val="clear" w:color="auto" w:fill="auto"/>
            <w:noWrap/>
            <w:vAlign w:val="center"/>
            <w:hideMark/>
          </w:tcPr>
          <w:p w14:paraId="1FC4D659" w14:textId="77777777" w:rsidR="008143A0" w:rsidRPr="009E4F13" w:rsidRDefault="008143A0" w:rsidP="008143A0">
            <w:pPr>
              <w:jc w:val="center"/>
              <w:rPr>
                <w:rFonts w:ascii="Times New Roman" w:hAnsi="Times New Roman" w:cs="Times New Roman"/>
                <w:color w:val="000000" w:themeColor="text1"/>
                <w:sz w:val="20"/>
                <w:szCs w:val="20"/>
              </w:rPr>
            </w:pPr>
            <w:r w:rsidRPr="009E4F13">
              <w:rPr>
                <w:rFonts w:ascii="Times New Roman" w:eastAsia="Times New Roman" w:hAnsi="Times New Roman" w:cs="Times New Roman"/>
                <w:color w:val="000000"/>
                <w:sz w:val="20"/>
                <w:szCs w:val="20"/>
              </w:rPr>
              <w:t>70,00</w:t>
            </w:r>
          </w:p>
        </w:tc>
        <w:tc>
          <w:tcPr>
            <w:tcW w:w="1807" w:type="dxa"/>
            <w:vAlign w:val="center"/>
          </w:tcPr>
          <w:p w14:paraId="5D5FC99B" w14:textId="77777777" w:rsidR="008143A0" w:rsidRPr="009E4F13" w:rsidRDefault="008143A0" w:rsidP="008143A0">
            <w:pPr>
              <w:ind w:right="178"/>
              <w:jc w:val="center"/>
              <w:rPr>
                <w:rFonts w:ascii="Times New Roman" w:hAnsi="Times New Roman" w:cs="Times New Roman"/>
                <w:color w:val="000000" w:themeColor="text1"/>
                <w:sz w:val="20"/>
                <w:szCs w:val="20"/>
              </w:rPr>
            </w:pPr>
            <w:r w:rsidRPr="009E4F13">
              <w:rPr>
                <w:rFonts w:ascii="Times New Roman" w:eastAsia="Times New Roman" w:hAnsi="Times New Roman" w:cs="Times New Roman"/>
                <w:color w:val="000000"/>
                <w:sz w:val="20"/>
                <w:szCs w:val="20"/>
              </w:rPr>
              <w:t>17,2%</w:t>
            </w:r>
          </w:p>
        </w:tc>
      </w:tr>
      <w:tr w:rsidR="008143A0" w:rsidRPr="009E4F13" w14:paraId="488AA0C1" w14:textId="77777777" w:rsidTr="008143A0">
        <w:trPr>
          <w:trHeight w:val="474"/>
          <w:jc w:val="center"/>
        </w:trPr>
        <w:tc>
          <w:tcPr>
            <w:tcW w:w="2450" w:type="dxa"/>
            <w:shd w:val="clear" w:color="auto" w:fill="auto"/>
            <w:noWrap/>
            <w:vAlign w:val="center"/>
            <w:hideMark/>
          </w:tcPr>
          <w:p w14:paraId="51972EC7" w14:textId="77777777" w:rsidR="008143A0" w:rsidRPr="009E4F13" w:rsidRDefault="008143A0" w:rsidP="008143A0">
            <w:pPr>
              <w:jc w:val="center"/>
              <w:rPr>
                <w:rFonts w:ascii="Times New Roman" w:hAnsi="Times New Roman" w:cs="Times New Roman"/>
                <w:color w:val="000000" w:themeColor="text1"/>
                <w:sz w:val="18"/>
                <w:szCs w:val="18"/>
              </w:rPr>
            </w:pPr>
            <w:r w:rsidRPr="009E4F13">
              <w:rPr>
                <w:rFonts w:ascii="Times New Roman" w:eastAsia="Times New Roman" w:hAnsi="Times New Roman" w:cs="Times New Roman"/>
                <w:color w:val="000000"/>
                <w:sz w:val="18"/>
                <w:szCs w:val="18"/>
              </w:rPr>
              <w:t>transport lokalny w miejscowości docelowej (np. MZK, TAXI)</w:t>
            </w:r>
          </w:p>
        </w:tc>
        <w:tc>
          <w:tcPr>
            <w:tcW w:w="1485" w:type="dxa"/>
            <w:shd w:val="clear" w:color="auto" w:fill="auto"/>
            <w:noWrap/>
            <w:vAlign w:val="center"/>
            <w:hideMark/>
          </w:tcPr>
          <w:p w14:paraId="2FEA5F83" w14:textId="77777777" w:rsidR="008143A0" w:rsidRPr="009E4F13" w:rsidRDefault="008143A0" w:rsidP="008143A0">
            <w:pPr>
              <w:jc w:val="center"/>
              <w:rPr>
                <w:rFonts w:ascii="Times New Roman" w:hAnsi="Times New Roman" w:cs="Times New Roman"/>
                <w:color w:val="000000" w:themeColor="text1"/>
                <w:sz w:val="20"/>
                <w:szCs w:val="20"/>
              </w:rPr>
            </w:pPr>
            <w:r w:rsidRPr="009E4F13">
              <w:rPr>
                <w:rFonts w:ascii="Times New Roman" w:eastAsia="Times New Roman" w:hAnsi="Times New Roman" w:cs="Times New Roman"/>
                <w:color w:val="000000"/>
                <w:sz w:val="20"/>
                <w:szCs w:val="20"/>
              </w:rPr>
              <w:t>54,14</w:t>
            </w:r>
          </w:p>
        </w:tc>
        <w:tc>
          <w:tcPr>
            <w:tcW w:w="1701" w:type="dxa"/>
            <w:vAlign w:val="center"/>
          </w:tcPr>
          <w:p w14:paraId="4D5EE88D" w14:textId="77777777" w:rsidR="008143A0" w:rsidRPr="009E4F13" w:rsidRDefault="008143A0" w:rsidP="008143A0">
            <w:pPr>
              <w:ind w:right="321"/>
              <w:jc w:val="center"/>
              <w:rPr>
                <w:rFonts w:ascii="Times New Roman" w:hAnsi="Times New Roman" w:cs="Times New Roman"/>
                <w:color w:val="000000" w:themeColor="text1"/>
                <w:sz w:val="20"/>
                <w:szCs w:val="20"/>
              </w:rPr>
            </w:pPr>
            <w:r w:rsidRPr="009E4F13">
              <w:rPr>
                <w:rFonts w:ascii="Times New Roman" w:eastAsia="Times New Roman" w:hAnsi="Times New Roman" w:cs="Times New Roman"/>
                <w:color w:val="000000"/>
                <w:sz w:val="20"/>
                <w:szCs w:val="20"/>
              </w:rPr>
              <w:t>8,8%</w:t>
            </w:r>
          </w:p>
        </w:tc>
        <w:tc>
          <w:tcPr>
            <w:tcW w:w="283" w:type="dxa"/>
            <w:shd w:val="clear" w:color="auto" w:fill="auto"/>
            <w:noWrap/>
            <w:vAlign w:val="center"/>
            <w:hideMark/>
          </w:tcPr>
          <w:p w14:paraId="4D0C3965" w14:textId="77777777" w:rsidR="008143A0" w:rsidRPr="009E4F13" w:rsidRDefault="008143A0" w:rsidP="008143A0">
            <w:pPr>
              <w:jc w:val="center"/>
              <w:rPr>
                <w:rFonts w:ascii="Times New Roman" w:hAnsi="Times New Roman" w:cs="Times New Roman"/>
                <w:color w:val="000000" w:themeColor="text1"/>
                <w:sz w:val="20"/>
                <w:szCs w:val="20"/>
              </w:rPr>
            </w:pPr>
          </w:p>
        </w:tc>
        <w:tc>
          <w:tcPr>
            <w:tcW w:w="1560" w:type="dxa"/>
            <w:shd w:val="clear" w:color="auto" w:fill="auto"/>
            <w:noWrap/>
            <w:vAlign w:val="center"/>
            <w:hideMark/>
          </w:tcPr>
          <w:p w14:paraId="6902BF2A" w14:textId="77777777" w:rsidR="008143A0" w:rsidRPr="009E4F13" w:rsidRDefault="008143A0" w:rsidP="008143A0">
            <w:pPr>
              <w:jc w:val="center"/>
              <w:rPr>
                <w:rFonts w:ascii="Times New Roman" w:hAnsi="Times New Roman" w:cs="Times New Roman"/>
                <w:color w:val="000000" w:themeColor="text1"/>
                <w:sz w:val="20"/>
                <w:szCs w:val="20"/>
              </w:rPr>
            </w:pPr>
            <w:r w:rsidRPr="009E4F13">
              <w:rPr>
                <w:rFonts w:ascii="Times New Roman" w:eastAsia="Times New Roman" w:hAnsi="Times New Roman" w:cs="Times New Roman"/>
                <w:color w:val="000000"/>
                <w:sz w:val="20"/>
                <w:szCs w:val="20"/>
              </w:rPr>
              <w:t>49,60</w:t>
            </w:r>
          </w:p>
        </w:tc>
        <w:tc>
          <w:tcPr>
            <w:tcW w:w="1807" w:type="dxa"/>
            <w:vAlign w:val="center"/>
          </w:tcPr>
          <w:p w14:paraId="296CA88B" w14:textId="77777777" w:rsidR="008143A0" w:rsidRPr="009E4F13" w:rsidRDefault="008143A0" w:rsidP="008143A0">
            <w:pPr>
              <w:ind w:right="178"/>
              <w:jc w:val="center"/>
              <w:rPr>
                <w:rFonts w:ascii="Times New Roman" w:hAnsi="Times New Roman" w:cs="Times New Roman"/>
                <w:color w:val="000000" w:themeColor="text1"/>
                <w:sz w:val="20"/>
                <w:szCs w:val="20"/>
              </w:rPr>
            </w:pPr>
            <w:r w:rsidRPr="009E4F13">
              <w:rPr>
                <w:rFonts w:ascii="Times New Roman" w:eastAsia="Times New Roman" w:hAnsi="Times New Roman" w:cs="Times New Roman"/>
                <w:color w:val="000000"/>
                <w:sz w:val="20"/>
                <w:szCs w:val="20"/>
              </w:rPr>
              <w:t>42,9%</w:t>
            </w:r>
          </w:p>
        </w:tc>
      </w:tr>
      <w:tr w:rsidR="008143A0" w:rsidRPr="009E4F13" w14:paraId="1AF3229C" w14:textId="77777777" w:rsidTr="008143A0">
        <w:trPr>
          <w:trHeight w:val="474"/>
          <w:jc w:val="center"/>
        </w:trPr>
        <w:tc>
          <w:tcPr>
            <w:tcW w:w="2450" w:type="dxa"/>
            <w:shd w:val="clear" w:color="auto" w:fill="auto"/>
            <w:noWrap/>
            <w:vAlign w:val="center"/>
            <w:hideMark/>
          </w:tcPr>
          <w:p w14:paraId="0945F82A" w14:textId="77777777" w:rsidR="008143A0" w:rsidRPr="009E4F13" w:rsidRDefault="008143A0" w:rsidP="008143A0">
            <w:pPr>
              <w:jc w:val="center"/>
              <w:rPr>
                <w:rFonts w:ascii="Times New Roman" w:hAnsi="Times New Roman" w:cs="Times New Roman"/>
                <w:color w:val="000000" w:themeColor="text1"/>
                <w:sz w:val="18"/>
                <w:szCs w:val="18"/>
              </w:rPr>
            </w:pPr>
            <w:r w:rsidRPr="009E4F13">
              <w:rPr>
                <w:rFonts w:ascii="Times New Roman" w:eastAsia="Times New Roman" w:hAnsi="Times New Roman" w:cs="Times New Roman"/>
                <w:color w:val="000000"/>
                <w:sz w:val="18"/>
                <w:szCs w:val="18"/>
              </w:rPr>
              <w:t>rekreacja i rozrywka w czasie wolnym w obiekcie konf.</w:t>
            </w:r>
          </w:p>
        </w:tc>
        <w:tc>
          <w:tcPr>
            <w:tcW w:w="1485" w:type="dxa"/>
            <w:shd w:val="clear" w:color="auto" w:fill="auto"/>
            <w:noWrap/>
            <w:vAlign w:val="center"/>
            <w:hideMark/>
          </w:tcPr>
          <w:p w14:paraId="5C4E13E3" w14:textId="77777777" w:rsidR="008143A0" w:rsidRPr="009E4F13" w:rsidRDefault="008143A0" w:rsidP="008143A0">
            <w:pPr>
              <w:jc w:val="center"/>
              <w:rPr>
                <w:rFonts w:ascii="Times New Roman" w:hAnsi="Times New Roman" w:cs="Times New Roman"/>
                <w:color w:val="000000" w:themeColor="text1"/>
                <w:sz w:val="20"/>
                <w:szCs w:val="20"/>
              </w:rPr>
            </w:pPr>
            <w:r w:rsidRPr="009E4F13">
              <w:rPr>
                <w:rFonts w:ascii="Times New Roman" w:eastAsia="Times New Roman" w:hAnsi="Times New Roman" w:cs="Times New Roman"/>
                <w:color w:val="000000"/>
                <w:sz w:val="20"/>
                <w:szCs w:val="20"/>
              </w:rPr>
              <w:t>72,50</w:t>
            </w:r>
          </w:p>
        </w:tc>
        <w:tc>
          <w:tcPr>
            <w:tcW w:w="1701" w:type="dxa"/>
            <w:vAlign w:val="center"/>
          </w:tcPr>
          <w:p w14:paraId="3A5DC0E2" w14:textId="77777777" w:rsidR="008143A0" w:rsidRPr="009E4F13" w:rsidRDefault="008143A0" w:rsidP="008143A0">
            <w:pPr>
              <w:ind w:right="321"/>
              <w:jc w:val="center"/>
              <w:rPr>
                <w:rFonts w:ascii="Times New Roman" w:hAnsi="Times New Roman" w:cs="Times New Roman"/>
                <w:color w:val="000000" w:themeColor="text1"/>
                <w:sz w:val="20"/>
                <w:szCs w:val="20"/>
              </w:rPr>
            </w:pPr>
            <w:r w:rsidRPr="009E4F13">
              <w:rPr>
                <w:rFonts w:ascii="Times New Roman" w:eastAsia="Times New Roman" w:hAnsi="Times New Roman" w:cs="Times New Roman"/>
                <w:color w:val="000000"/>
                <w:sz w:val="20"/>
                <w:szCs w:val="20"/>
              </w:rPr>
              <w:t>1,6%</w:t>
            </w:r>
          </w:p>
        </w:tc>
        <w:tc>
          <w:tcPr>
            <w:tcW w:w="283" w:type="dxa"/>
            <w:shd w:val="clear" w:color="auto" w:fill="auto"/>
            <w:noWrap/>
            <w:vAlign w:val="center"/>
            <w:hideMark/>
          </w:tcPr>
          <w:p w14:paraId="39BD7AA4" w14:textId="77777777" w:rsidR="008143A0" w:rsidRPr="009E4F13" w:rsidRDefault="008143A0" w:rsidP="008143A0">
            <w:pPr>
              <w:jc w:val="center"/>
              <w:rPr>
                <w:rFonts w:ascii="Times New Roman" w:hAnsi="Times New Roman" w:cs="Times New Roman"/>
                <w:color w:val="000000" w:themeColor="text1"/>
                <w:sz w:val="20"/>
                <w:szCs w:val="20"/>
              </w:rPr>
            </w:pPr>
          </w:p>
        </w:tc>
        <w:tc>
          <w:tcPr>
            <w:tcW w:w="1560" w:type="dxa"/>
            <w:shd w:val="clear" w:color="auto" w:fill="auto"/>
            <w:noWrap/>
            <w:vAlign w:val="center"/>
            <w:hideMark/>
          </w:tcPr>
          <w:p w14:paraId="3516A591" w14:textId="77777777" w:rsidR="008143A0" w:rsidRPr="009E4F13" w:rsidRDefault="008143A0" w:rsidP="008143A0">
            <w:pPr>
              <w:jc w:val="center"/>
              <w:rPr>
                <w:rFonts w:ascii="Times New Roman" w:hAnsi="Times New Roman" w:cs="Times New Roman"/>
                <w:color w:val="000000" w:themeColor="text1"/>
                <w:sz w:val="20"/>
                <w:szCs w:val="20"/>
              </w:rPr>
            </w:pPr>
            <w:r w:rsidRPr="009E4F13">
              <w:rPr>
                <w:rFonts w:ascii="Times New Roman" w:eastAsia="Times New Roman" w:hAnsi="Times New Roman" w:cs="Times New Roman"/>
                <w:color w:val="000000"/>
                <w:sz w:val="20"/>
                <w:szCs w:val="20"/>
              </w:rPr>
              <w:t>142,86</w:t>
            </w:r>
          </w:p>
        </w:tc>
        <w:tc>
          <w:tcPr>
            <w:tcW w:w="1807" w:type="dxa"/>
            <w:vAlign w:val="center"/>
          </w:tcPr>
          <w:p w14:paraId="40DA8A29" w14:textId="77777777" w:rsidR="008143A0" w:rsidRPr="009E4F13" w:rsidRDefault="008143A0" w:rsidP="008143A0">
            <w:pPr>
              <w:ind w:right="178"/>
              <w:jc w:val="center"/>
              <w:rPr>
                <w:rFonts w:ascii="Times New Roman" w:hAnsi="Times New Roman" w:cs="Times New Roman"/>
                <w:color w:val="000000" w:themeColor="text1"/>
                <w:sz w:val="20"/>
                <w:szCs w:val="20"/>
              </w:rPr>
            </w:pPr>
            <w:r w:rsidRPr="009E4F13">
              <w:rPr>
                <w:rFonts w:ascii="Times New Roman" w:eastAsia="Times New Roman" w:hAnsi="Times New Roman" w:cs="Times New Roman"/>
                <w:color w:val="000000"/>
                <w:sz w:val="20"/>
                <w:szCs w:val="20"/>
              </w:rPr>
              <w:t>12,0%</w:t>
            </w:r>
          </w:p>
        </w:tc>
      </w:tr>
      <w:tr w:rsidR="008143A0" w:rsidRPr="009E4F13" w14:paraId="4F52466D" w14:textId="77777777" w:rsidTr="008143A0">
        <w:trPr>
          <w:trHeight w:val="474"/>
          <w:jc w:val="center"/>
        </w:trPr>
        <w:tc>
          <w:tcPr>
            <w:tcW w:w="2450" w:type="dxa"/>
            <w:shd w:val="clear" w:color="auto" w:fill="auto"/>
            <w:noWrap/>
            <w:vAlign w:val="center"/>
          </w:tcPr>
          <w:p w14:paraId="7C837ABB" w14:textId="77777777" w:rsidR="008143A0" w:rsidRPr="009E4F13" w:rsidRDefault="008143A0" w:rsidP="008143A0">
            <w:pPr>
              <w:jc w:val="center"/>
              <w:rPr>
                <w:rFonts w:ascii="Times New Roman" w:eastAsia="Times New Roman" w:hAnsi="Times New Roman" w:cs="Times New Roman"/>
                <w:color w:val="000000" w:themeColor="text1"/>
                <w:sz w:val="18"/>
                <w:szCs w:val="18"/>
              </w:rPr>
            </w:pPr>
            <w:r w:rsidRPr="009E4F13">
              <w:rPr>
                <w:rFonts w:ascii="Times New Roman" w:eastAsia="Times New Roman" w:hAnsi="Times New Roman" w:cs="Times New Roman"/>
                <w:color w:val="000000"/>
                <w:sz w:val="18"/>
                <w:szCs w:val="18"/>
              </w:rPr>
              <w:t>rekreacja i rozrywka w czasie wolnym w Katowicach</w:t>
            </w:r>
          </w:p>
        </w:tc>
        <w:tc>
          <w:tcPr>
            <w:tcW w:w="1485" w:type="dxa"/>
            <w:shd w:val="clear" w:color="auto" w:fill="auto"/>
            <w:noWrap/>
            <w:vAlign w:val="center"/>
          </w:tcPr>
          <w:p w14:paraId="5B0863C0" w14:textId="77777777" w:rsidR="008143A0" w:rsidRPr="009E4F13" w:rsidRDefault="008143A0" w:rsidP="008143A0">
            <w:pPr>
              <w:jc w:val="center"/>
              <w:rPr>
                <w:rFonts w:ascii="Times New Roman" w:eastAsia="Times New Roman" w:hAnsi="Times New Roman" w:cs="Times New Roman"/>
                <w:color w:val="000000" w:themeColor="text1"/>
                <w:sz w:val="20"/>
                <w:szCs w:val="20"/>
              </w:rPr>
            </w:pPr>
            <w:r w:rsidRPr="009E4F13">
              <w:rPr>
                <w:rFonts w:ascii="Times New Roman" w:eastAsia="Times New Roman" w:hAnsi="Times New Roman" w:cs="Times New Roman"/>
                <w:color w:val="000000"/>
                <w:sz w:val="20"/>
                <w:szCs w:val="20"/>
              </w:rPr>
              <w:t>148,00</w:t>
            </w:r>
          </w:p>
        </w:tc>
        <w:tc>
          <w:tcPr>
            <w:tcW w:w="1701" w:type="dxa"/>
            <w:vAlign w:val="center"/>
          </w:tcPr>
          <w:p w14:paraId="6BE7947D" w14:textId="77777777" w:rsidR="008143A0" w:rsidRPr="009E4F13" w:rsidRDefault="008143A0" w:rsidP="008143A0">
            <w:pPr>
              <w:ind w:right="321"/>
              <w:jc w:val="center"/>
              <w:rPr>
                <w:rFonts w:ascii="Times New Roman" w:eastAsia="Times New Roman" w:hAnsi="Times New Roman" w:cs="Times New Roman"/>
                <w:color w:val="000000" w:themeColor="text1"/>
                <w:sz w:val="20"/>
                <w:szCs w:val="20"/>
              </w:rPr>
            </w:pPr>
            <w:r w:rsidRPr="009E4F13">
              <w:rPr>
                <w:rFonts w:ascii="Times New Roman" w:eastAsia="Times New Roman" w:hAnsi="Times New Roman" w:cs="Times New Roman"/>
                <w:color w:val="000000"/>
                <w:sz w:val="20"/>
                <w:szCs w:val="20"/>
              </w:rPr>
              <w:t>3,2%</w:t>
            </w:r>
          </w:p>
        </w:tc>
        <w:tc>
          <w:tcPr>
            <w:tcW w:w="283" w:type="dxa"/>
            <w:shd w:val="clear" w:color="auto" w:fill="auto"/>
            <w:noWrap/>
            <w:vAlign w:val="center"/>
          </w:tcPr>
          <w:p w14:paraId="2E387426" w14:textId="77777777" w:rsidR="008143A0" w:rsidRPr="009E4F13" w:rsidRDefault="008143A0" w:rsidP="008143A0">
            <w:pPr>
              <w:jc w:val="center"/>
              <w:rPr>
                <w:rFonts w:ascii="Times New Roman" w:hAnsi="Times New Roman" w:cs="Times New Roman"/>
                <w:color w:val="000000" w:themeColor="text1"/>
                <w:sz w:val="20"/>
                <w:szCs w:val="20"/>
              </w:rPr>
            </w:pPr>
          </w:p>
        </w:tc>
        <w:tc>
          <w:tcPr>
            <w:tcW w:w="1560" w:type="dxa"/>
            <w:shd w:val="clear" w:color="auto" w:fill="auto"/>
            <w:noWrap/>
            <w:vAlign w:val="center"/>
          </w:tcPr>
          <w:p w14:paraId="46CCAFA5" w14:textId="77777777" w:rsidR="008143A0" w:rsidRPr="009E4F13" w:rsidRDefault="008143A0" w:rsidP="008143A0">
            <w:pPr>
              <w:jc w:val="center"/>
              <w:rPr>
                <w:rFonts w:ascii="Times New Roman" w:eastAsia="Times New Roman" w:hAnsi="Times New Roman" w:cs="Times New Roman"/>
                <w:color w:val="000000" w:themeColor="text1"/>
                <w:sz w:val="20"/>
                <w:szCs w:val="20"/>
              </w:rPr>
            </w:pPr>
            <w:r w:rsidRPr="009E4F13">
              <w:rPr>
                <w:rFonts w:ascii="Times New Roman" w:eastAsia="Times New Roman" w:hAnsi="Times New Roman" w:cs="Times New Roman"/>
                <w:color w:val="000000"/>
                <w:sz w:val="20"/>
                <w:szCs w:val="20"/>
              </w:rPr>
              <w:t>77,86</w:t>
            </w:r>
          </w:p>
        </w:tc>
        <w:tc>
          <w:tcPr>
            <w:tcW w:w="1807" w:type="dxa"/>
            <w:vAlign w:val="center"/>
          </w:tcPr>
          <w:p w14:paraId="357B1E9D" w14:textId="77777777" w:rsidR="008143A0" w:rsidRPr="009E4F13" w:rsidRDefault="008143A0" w:rsidP="008143A0">
            <w:pPr>
              <w:ind w:right="178"/>
              <w:jc w:val="center"/>
              <w:rPr>
                <w:rFonts w:ascii="Times New Roman" w:eastAsia="Times New Roman" w:hAnsi="Times New Roman" w:cs="Times New Roman"/>
                <w:color w:val="000000" w:themeColor="text1"/>
                <w:sz w:val="20"/>
                <w:szCs w:val="20"/>
              </w:rPr>
            </w:pPr>
            <w:r w:rsidRPr="009E4F13">
              <w:rPr>
                <w:rFonts w:ascii="Times New Roman" w:eastAsia="Times New Roman" w:hAnsi="Times New Roman" w:cs="Times New Roman"/>
                <w:color w:val="000000"/>
                <w:sz w:val="20"/>
                <w:szCs w:val="20"/>
              </w:rPr>
              <w:t>24,0%</w:t>
            </w:r>
          </w:p>
        </w:tc>
      </w:tr>
      <w:tr w:rsidR="008143A0" w:rsidRPr="009E4F13" w14:paraId="4EEA4C64" w14:textId="77777777" w:rsidTr="008143A0">
        <w:trPr>
          <w:trHeight w:val="474"/>
          <w:jc w:val="center"/>
        </w:trPr>
        <w:tc>
          <w:tcPr>
            <w:tcW w:w="2450" w:type="dxa"/>
            <w:shd w:val="clear" w:color="auto" w:fill="auto"/>
            <w:noWrap/>
            <w:vAlign w:val="center"/>
          </w:tcPr>
          <w:p w14:paraId="226491D3" w14:textId="77777777" w:rsidR="008143A0" w:rsidRPr="009E4F13" w:rsidRDefault="008143A0" w:rsidP="008143A0">
            <w:pPr>
              <w:jc w:val="center"/>
              <w:rPr>
                <w:rFonts w:ascii="Times New Roman" w:eastAsia="Times New Roman" w:hAnsi="Times New Roman" w:cs="Times New Roman"/>
                <w:color w:val="000000" w:themeColor="text1"/>
                <w:sz w:val="18"/>
                <w:szCs w:val="18"/>
              </w:rPr>
            </w:pPr>
            <w:r w:rsidRPr="009E4F13">
              <w:rPr>
                <w:rFonts w:ascii="Times New Roman" w:eastAsia="Times New Roman" w:hAnsi="Times New Roman" w:cs="Times New Roman"/>
                <w:color w:val="000000"/>
                <w:sz w:val="18"/>
                <w:szCs w:val="18"/>
              </w:rPr>
              <w:t>pamiątki z miejscowości konferencyjnej</w:t>
            </w:r>
          </w:p>
        </w:tc>
        <w:tc>
          <w:tcPr>
            <w:tcW w:w="1485" w:type="dxa"/>
            <w:shd w:val="clear" w:color="auto" w:fill="auto"/>
            <w:noWrap/>
            <w:vAlign w:val="center"/>
          </w:tcPr>
          <w:p w14:paraId="073B1769" w14:textId="77777777" w:rsidR="008143A0" w:rsidRPr="009E4F13" w:rsidRDefault="008143A0" w:rsidP="008143A0">
            <w:pPr>
              <w:jc w:val="center"/>
              <w:rPr>
                <w:rFonts w:ascii="Times New Roman" w:eastAsia="Times New Roman" w:hAnsi="Times New Roman" w:cs="Times New Roman"/>
                <w:color w:val="000000" w:themeColor="text1"/>
                <w:sz w:val="20"/>
                <w:szCs w:val="20"/>
              </w:rPr>
            </w:pPr>
            <w:r w:rsidRPr="009E4F13">
              <w:rPr>
                <w:rFonts w:ascii="Times New Roman" w:eastAsia="Times New Roman" w:hAnsi="Times New Roman" w:cs="Times New Roman"/>
                <w:color w:val="000000"/>
                <w:sz w:val="20"/>
                <w:szCs w:val="20"/>
              </w:rPr>
              <w:t>55,00</w:t>
            </w:r>
          </w:p>
        </w:tc>
        <w:tc>
          <w:tcPr>
            <w:tcW w:w="1701" w:type="dxa"/>
            <w:vAlign w:val="center"/>
          </w:tcPr>
          <w:p w14:paraId="00FDBCC3" w14:textId="77777777" w:rsidR="008143A0" w:rsidRPr="009E4F13" w:rsidRDefault="008143A0" w:rsidP="008143A0">
            <w:pPr>
              <w:ind w:right="321"/>
              <w:jc w:val="center"/>
              <w:rPr>
                <w:rFonts w:ascii="Times New Roman" w:eastAsia="Times New Roman" w:hAnsi="Times New Roman" w:cs="Times New Roman"/>
                <w:color w:val="000000" w:themeColor="text1"/>
                <w:sz w:val="20"/>
                <w:szCs w:val="20"/>
              </w:rPr>
            </w:pPr>
            <w:r w:rsidRPr="009E4F13">
              <w:rPr>
                <w:rFonts w:ascii="Times New Roman" w:eastAsia="Times New Roman" w:hAnsi="Times New Roman" w:cs="Times New Roman"/>
                <w:color w:val="000000"/>
                <w:sz w:val="20"/>
                <w:szCs w:val="20"/>
              </w:rPr>
              <w:t>2,4%</w:t>
            </w:r>
          </w:p>
        </w:tc>
        <w:tc>
          <w:tcPr>
            <w:tcW w:w="283" w:type="dxa"/>
            <w:shd w:val="clear" w:color="auto" w:fill="auto"/>
            <w:noWrap/>
            <w:vAlign w:val="center"/>
          </w:tcPr>
          <w:p w14:paraId="213F3F5C" w14:textId="77777777" w:rsidR="008143A0" w:rsidRPr="009E4F13" w:rsidRDefault="008143A0" w:rsidP="008143A0">
            <w:pPr>
              <w:jc w:val="center"/>
              <w:rPr>
                <w:rFonts w:ascii="Times New Roman" w:hAnsi="Times New Roman" w:cs="Times New Roman"/>
                <w:color w:val="000000" w:themeColor="text1"/>
                <w:sz w:val="20"/>
                <w:szCs w:val="20"/>
              </w:rPr>
            </w:pPr>
          </w:p>
        </w:tc>
        <w:tc>
          <w:tcPr>
            <w:tcW w:w="1560" w:type="dxa"/>
            <w:shd w:val="clear" w:color="auto" w:fill="auto"/>
            <w:noWrap/>
            <w:vAlign w:val="center"/>
          </w:tcPr>
          <w:p w14:paraId="126E80F2" w14:textId="77777777" w:rsidR="008143A0" w:rsidRPr="009E4F13" w:rsidRDefault="008143A0" w:rsidP="008143A0">
            <w:pPr>
              <w:jc w:val="center"/>
              <w:rPr>
                <w:rFonts w:ascii="Times New Roman" w:eastAsia="Times New Roman" w:hAnsi="Times New Roman" w:cs="Times New Roman"/>
                <w:color w:val="000000" w:themeColor="text1"/>
                <w:sz w:val="20"/>
                <w:szCs w:val="20"/>
              </w:rPr>
            </w:pPr>
            <w:r w:rsidRPr="009E4F13">
              <w:rPr>
                <w:rFonts w:ascii="Times New Roman" w:eastAsia="Times New Roman" w:hAnsi="Times New Roman" w:cs="Times New Roman"/>
                <w:color w:val="000000"/>
                <w:sz w:val="20"/>
                <w:szCs w:val="20"/>
              </w:rPr>
              <w:t>91,36</w:t>
            </w:r>
          </w:p>
        </w:tc>
        <w:tc>
          <w:tcPr>
            <w:tcW w:w="1807" w:type="dxa"/>
            <w:vAlign w:val="center"/>
          </w:tcPr>
          <w:p w14:paraId="34557EB2" w14:textId="77777777" w:rsidR="008143A0" w:rsidRPr="009E4F13" w:rsidRDefault="008143A0" w:rsidP="008143A0">
            <w:pPr>
              <w:ind w:right="178"/>
              <w:jc w:val="center"/>
              <w:rPr>
                <w:rFonts w:ascii="Times New Roman" w:eastAsia="Times New Roman" w:hAnsi="Times New Roman" w:cs="Times New Roman"/>
                <w:color w:val="000000" w:themeColor="text1"/>
                <w:sz w:val="20"/>
                <w:szCs w:val="20"/>
              </w:rPr>
            </w:pPr>
            <w:r w:rsidRPr="009E4F13">
              <w:rPr>
                <w:rFonts w:ascii="Times New Roman" w:eastAsia="Times New Roman" w:hAnsi="Times New Roman" w:cs="Times New Roman"/>
                <w:color w:val="000000"/>
                <w:sz w:val="20"/>
                <w:szCs w:val="20"/>
              </w:rPr>
              <w:t>18,9%</w:t>
            </w:r>
          </w:p>
        </w:tc>
      </w:tr>
      <w:tr w:rsidR="008143A0" w:rsidRPr="009E4F13" w14:paraId="7DDFE10E" w14:textId="77777777" w:rsidTr="008143A0">
        <w:trPr>
          <w:trHeight w:val="474"/>
          <w:jc w:val="center"/>
        </w:trPr>
        <w:tc>
          <w:tcPr>
            <w:tcW w:w="2450" w:type="dxa"/>
            <w:shd w:val="clear" w:color="auto" w:fill="auto"/>
            <w:noWrap/>
            <w:vAlign w:val="center"/>
            <w:hideMark/>
          </w:tcPr>
          <w:p w14:paraId="0D8172BC" w14:textId="77777777" w:rsidR="008143A0" w:rsidRPr="009E4F13" w:rsidRDefault="008143A0" w:rsidP="008143A0">
            <w:pPr>
              <w:jc w:val="center"/>
              <w:rPr>
                <w:rFonts w:ascii="Times New Roman" w:hAnsi="Times New Roman" w:cs="Times New Roman"/>
                <w:color w:val="000000" w:themeColor="text1"/>
                <w:sz w:val="18"/>
                <w:szCs w:val="18"/>
              </w:rPr>
            </w:pPr>
            <w:r w:rsidRPr="009E4F13">
              <w:rPr>
                <w:rFonts w:ascii="Times New Roman" w:eastAsia="Times New Roman" w:hAnsi="Times New Roman" w:cs="Times New Roman"/>
                <w:color w:val="000000"/>
                <w:sz w:val="18"/>
                <w:szCs w:val="18"/>
              </w:rPr>
              <w:t>zakupy w galeriach, centrach i ulicach handlowych</w:t>
            </w:r>
          </w:p>
        </w:tc>
        <w:tc>
          <w:tcPr>
            <w:tcW w:w="1485" w:type="dxa"/>
            <w:shd w:val="clear" w:color="auto" w:fill="auto"/>
            <w:noWrap/>
            <w:vAlign w:val="center"/>
            <w:hideMark/>
          </w:tcPr>
          <w:p w14:paraId="3A1B3C5C" w14:textId="77777777" w:rsidR="008143A0" w:rsidRPr="009E4F13" w:rsidRDefault="008143A0" w:rsidP="008143A0">
            <w:pPr>
              <w:jc w:val="center"/>
              <w:rPr>
                <w:rFonts w:ascii="Times New Roman" w:hAnsi="Times New Roman" w:cs="Times New Roman"/>
                <w:color w:val="000000" w:themeColor="text1"/>
                <w:sz w:val="20"/>
                <w:szCs w:val="20"/>
              </w:rPr>
            </w:pPr>
            <w:r w:rsidRPr="009E4F13">
              <w:rPr>
                <w:rFonts w:ascii="Times New Roman" w:eastAsia="Times New Roman" w:hAnsi="Times New Roman" w:cs="Times New Roman"/>
                <w:color w:val="000000"/>
                <w:sz w:val="20"/>
                <w:szCs w:val="20"/>
              </w:rPr>
              <w:t>168,42</w:t>
            </w:r>
          </w:p>
        </w:tc>
        <w:tc>
          <w:tcPr>
            <w:tcW w:w="1701" w:type="dxa"/>
            <w:vAlign w:val="center"/>
          </w:tcPr>
          <w:p w14:paraId="41E779C0" w14:textId="77777777" w:rsidR="008143A0" w:rsidRPr="009E4F13" w:rsidRDefault="008143A0" w:rsidP="008143A0">
            <w:pPr>
              <w:ind w:right="321"/>
              <w:jc w:val="center"/>
              <w:rPr>
                <w:rFonts w:ascii="Times New Roman" w:hAnsi="Times New Roman" w:cs="Times New Roman"/>
                <w:color w:val="000000" w:themeColor="text1"/>
                <w:sz w:val="20"/>
                <w:szCs w:val="20"/>
              </w:rPr>
            </w:pPr>
            <w:r w:rsidRPr="009E4F13">
              <w:rPr>
                <w:rFonts w:ascii="Times New Roman" w:eastAsia="Times New Roman" w:hAnsi="Times New Roman" w:cs="Times New Roman"/>
                <w:color w:val="000000"/>
                <w:sz w:val="20"/>
                <w:szCs w:val="20"/>
              </w:rPr>
              <w:t>9,6%</w:t>
            </w:r>
          </w:p>
        </w:tc>
        <w:tc>
          <w:tcPr>
            <w:tcW w:w="283" w:type="dxa"/>
            <w:shd w:val="clear" w:color="auto" w:fill="auto"/>
            <w:noWrap/>
            <w:vAlign w:val="center"/>
            <w:hideMark/>
          </w:tcPr>
          <w:p w14:paraId="68369CE7" w14:textId="77777777" w:rsidR="008143A0" w:rsidRPr="009E4F13" w:rsidRDefault="008143A0" w:rsidP="008143A0">
            <w:pPr>
              <w:jc w:val="center"/>
              <w:rPr>
                <w:rFonts w:ascii="Times New Roman" w:hAnsi="Times New Roman" w:cs="Times New Roman"/>
                <w:color w:val="000000" w:themeColor="text1"/>
                <w:sz w:val="20"/>
                <w:szCs w:val="20"/>
              </w:rPr>
            </w:pPr>
          </w:p>
        </w:tc>
        <w:tc>
          <w:tcPr>
            <w:tcW w:w="1560" w:type="dxa"/>
            <w:shd w:val="clear" w:color="auto" w:fill="auto"/>
            <w:noWrap/>
            <w:vAlign w:val="center"/>
            <w:hideMark/>
          </w:tcPr>
          <w:p w14:paraId="122E482D" w14:textId="77777777" w:rsidR="008143A0" w:rsidRPr="009E4F13" w:rsidRDefault="008143A0" w:rsidP="008143A0">
            <w:pPr>
              <w:jc w:val="center"/>
              <w:rPr>
                <w:rFonts w:ascii="Times New Roman" w:hAnsi="Times New Roman" w:cs="Times New Roman"/>
                <w:color w:val="000000" w:themeColor="text1"/>
                <w:sz w:val="20"/>
                <w:szCs w:val="20"/>
              </w:rPr>
            </w:pPr>
            <w:r w:rsidRPr="009E4F13">
              <w:rPr>
                <w:rFonts w:ascii="Times New Roman" w:eastAsia="Times New Roman" w:hAnsi="Times New Roman" w:cs="Times New Roman"/>
                <w:color w:val="000000"/>
                <w:sz w:val="20"/>
                <w:szCs w:val="20"/>
              </w:rPr>
              <w:t>264,67</w:t>
            </w:r>
          </w:p>
        </w:tc>
        <w:tc>
          <w:tcPr>
            <w:tcW w:w="1807" w:type="dxa"/>
            <w:vAlign w:val="center"/>
          </w:tcPr>
          <w:p w14:paraId="14939C4D" w14:textId="77777777" w:rsidR="008143A0" w:rsidRPr="009E4F13" w:rsidRDefault="008143A0" w:rsidP="008143A0">
            <w:pPr>
              <w:ind w:right="178"/>
              <w:jc w:val="center"/>
              <w:rPr>
                <w:rFonts w:ascii="Times New Roman" w:hAnsi="Times New Roman" w:cs="Times New Roman"/>
                <w:color w:val="000000" w:themeColor="text1"/>
                <w:sz w:val="20"/>
                <w:szCs w:val="20"/>
              </w:rPr>
            </w:pPr>
            <w:r w:rsidRPr="009E4F13">
              <w:rPr>
                <w:rFonts w:ascii="Times New Roman" w:eastAsia="Times New Roman" w:hAnsi="Times New Roman" w:cs="Times New Roman"/>
                <w:color w:val="000000"/>
                <w:sz w:val="20"/>
                <w:szCs w:val="20"/>
              </w:rPr>
              <w:t>25,7%</w:t>
            </w:r>
          </w:p>
        </w:tc>
      </w:tr>
    </w:tbl>
    <w:p w14:paraId="10C9C0F0" w14:textId="77777777" w:rsidR="008143A0" w:rsidRPr="009E4F13" w:rsidRDefault="008143A0" w:rsidP="008143A0">
      <w:pPr>
        <w:ind w:left="709" w:hanging="709"/>
        <w:jc w:val="both"/>
        <w:rPr>
          <w:rFonts w:ascii="Times New Roman" w:hAnsi="Times New Roman" w:cs="Times New Roman"/>
          <w:color w:val="F79646" w:themeColor="accent6"/>
          <w:sz w:val="20"/>
          <w:szCs w:val="20"/>
        </w:rPr>
      </w:pPr>
    </w:p>
    <w:p w14:paraId="26FB6B90" w14:textId="77777777" w:rsidR="008143A0" w:rsidRPr="009E4F13" w:rsidRDefault="008143A0" w:rsidP="008143A0">
      <w:pPr>
        <w:ind w:left="709" w:hanging="709"/>
        <w:jc w:val="both"/>
        <w:rPr>
          <w:rFonts w:ascii="Times New Roman" w:hAnsi="Times New Roman" w:cs="Times New Roman"/>
          <w:sz w:val="20"/>
          <w:szCs w:val="20"/>
        </w:rPr>
      </w:pPr>
      <w:r w:rsidRPr="009E4F13">
        <w:rPr>
          <w:rFonts w:ascii="Times New Roman" w:hAnsi="Times New Roman" w:cs="Times New Roman"/>
          <w:sz w:val="20"/>
          <w:szCs w:val="20"/>
        </w:rPr>
        <w:t xml:space="preserve">Źródło: K. Cieślikowski: </w:t>
      </w:r>
      <w:r w:rsidRPr="009E4F13">
        <w:rPr>
          <w:rFonts w:ascii="Times New Roman" w:hAnsi="Times New Roman" w:cs="Times New Roman"/>
          <w:i/>
          <w:sz w:val="20"/>
          <w:szCs w:val="20"/>
        </w:rPr>
        <w:t>Rynek turystyki biznesowej w Katowicach w 2013 roku.</w:t>
      </w:r>
      <w:r>
        <w:rPr>
          <w:rFonts w:ascii="Times New Roman" w:hAnsi="Times New Roman" w:cs="Times New Roman"/>
          <w:i/>
          <w:sz w:val="20"/>
          <w:szCs w:val="20"/>
        </w:rPr>
        <w:t>, op.cit.</w:t>
      </w:r>
    </w:p>
    <w:p w14:paraId="165A4BE1" w14:textId="77777777" w:rsidR="008143A0" w:rsidRPr="009E4F13" w:rsidRDefault="008143A0" w:rsidP="008143A0">
      <w:pPr>
        <w:spacing w:line="360" w:lineRule="auto"/>
        <w:jc w:val="both"/>
        <w:rPr>
          <w:rFonts w:ascii="Times New Roman" w:hAnsi="Times New Roman" w:cs="Times New Roman"/>
        </w:rPr>
      </w:pPr>
    </w:p>
    <w:p w14:paraId="054AE1EB" w14:textId="1D6BC2D5" w:rsidR="008143A0" w:rsidRPr="00077CCC" w:rsidRDefault="008143A0" w:rsidP="00077CCC">
      <w:pPr>
        <w:spacing w:line="360" w:lineRule="auto"/>
        <w:jc w:val="both"/>
        <w:rPr>
          <w:rFonts w:ascii="Times New Roman" w:hAnsi="Times New Roman" w:cs="Times New Roman"/>
          <w:color w:val="000000" w:themeColor="text1"/>
        </w:rPr>
      </w:pPr>
      <w:r w:rsidRPr="009E4F13">
        <w:rPr>
          <w:rFonts w:ascii="Times New Roman" w:hAnsi="Times New Roman" w:cs="Times New Roman"/>
          <w:color w:val="000000" w:themeColor="text1"/>
        </w:rPr>
        <w:t>Następnym rodzajem usług pod względem popularności wśród uczestników spotkań konferencyjnych nie korzystających z noclegu, były „zakupy w centrach handlowych” – 9,6 % ze średnią kwotą 168,42 zł. Podczas, gdy odsetek wśród nocujących ponoszących wydatki na ten cel stanowi</w:t>
      </w:r>
      <w:r>
        <w:rPr>
          <w:rFonts w:ascii="Times New Roman" w:hAnsi="Times New Roman" w:cs="Times New Roman"/>
          <w:color w:val="000000" w:themeColor="text1"/>
        </w:rPr>
        <w:t>ł 25,7% ze średnią kwotą 264,67</w:t>
      </w:r>
      <w:r w:rsidRPr="009E4F13">
        <w:rPr>
          <w:rFonts w:ascii="Times New Roman" w:hAnsi="Times New Roman" w:cs="Times New Roman"/>
          <w:color w:val="000000" w:themeColor="text1"/>
        </w:rPr>
        <w:t>zł.</w:t>
      </w:r>
      <w:r w:rsidR="00425C88">
        <w:rPr>
          <w:rFonts w:ascii="Times New Roman" w:hAnsi="Times New Roman" w:cs="Times New Roman"/>
          <w:color w:val="000000" w:themeColor="text1"/>
        </w:rPr>
        <w:t xml:space="preserve"> </w:t>
      </w:r>
      <w:r w:rsidRPr="009E4F13">
        <w:rPr>
          <w:rFonts w:ascii="Times New Roman" w:hAnsi="Times New Roman" w:cs="Times New Roman"/>
          <w:color w:val="000000" w:themeColor="text1"/>
        </w:rPr>
        <w:t xml:space="preserve">Na środki transportu lokalnego (Taxi lub MZK) w Katowicach 8,8 % delegatów jednodniowych przeznaczyło średnio 54,14 zł, a wśród nocujących odsetek stanowił 42,9% ze średnią kwotą – 49,60 zł. </w:t>
      </w:r>
    </w:p>
    <w:p w14:paraId="32E5C389" w14:textId="77777777" w:rsidR="00F60C6F" w:rsidRDefault="00F60C6F" w:rsidP="00536559">
      <w:pPr>
        <w:spacing w:line="360" w:lineRule="auto"/>
        <w:rPr>
          <w:rFonts w:ascii="Times New Roman" w:hAnsi="Times New Roman" w:cs="Times New Roman"/>
          <w:b/>
        </w:rPr>
      </w:pPr>
    </w:p>
    <w:p w14:paraId="52E3D95F" w14:textId="1883833A" w:rsidR="00536559" w:rsidRPr="00536559" w:rsidRDefault="008143A0" w:rsidP="00536559">
      <w:pPr>
        <w:spacing w:line="360" w:lineRule="auto"/>
        <w:rPr>
          <w:rFonts w:ascii="Times New Roman" w:hAnsi="Times New Roman" w:cs="Times New Roman"/>
          <w:b/>
        </w:rPr>
      </w:pPr>
      <w:r w:rsidRPr="009E4F13">
        <w:rPr>
          <w:rFonts w:ascii="Times New Roman" w:hAnsi="Times New Roman" w:cs="Times New Roman"/>
          <w:b/>
        </w:rPr>
        <w:t>Podsumowanie</w:t>
      </w:r>
    </w:p>
    <w:p w14:paraId="247ED1BA" w14:textId="131A75C2" w:rsidR="00817505" w:rsidRDefault="00536559" w:rsidP="00817505">
      <w:pPr>
        <w:spacing w:line="360" w:lineRule="auto"/>
        <w:ind w:firstLine="708"/>
        <w:jc w:val="both"/>
        <w:rPr>
          <w:rFonts w:ascii="Times New Roman" w:hAnsi="Times New Roman" w:cs="Times New Roman"/>
        </w:rPr>
      </w:pPr>
      <w:r>
        <w:rPr>
          <w:rFonts w:ascii="Times New Roman" w:hAnsi="Times New Roman" w:cs="Times New Roman"/>
        </w:rPr>
        <w:t>Badania rynku turystyki biznesowej w Katowicach pozwalają</w:t>
      </w:r>
      <w:r w:rsidR="008C15A9">
        <w:rPr>
          <w:rFonts w:ascii="Times New Roman" w:hAnsi="Times New Roman" w:cs="Times New Roman"/>
        </w:rPr>
        <w:t xml:space="preserve"> </w:t>
      </w:r>
      <w:r>
        <w:rPr>
          <w:rFonts w:ascii="Times New Roman" w:hAnsi="Times New Roman" w:cs="Times New Roman"/>
        </w:rPr>
        <w:t xml:space="preserve">na </w:t>
      </w:r>
      <w:r w:rsidR="008C15A9">
        <w:rPr>
          <w:rFonts w:ascii="Times New Roman" w:hAnsi="Times New Roman" w:cs="Times New Roman"/>
        </w:rPr>
        <w:t>pewne porównania z </w:t>
      </w:r>
      <w:r>
        <w:rPr>
          <w:rFonts w:ascii="Times New Roman" w:hAnsi="Times New Roman" w:cs="Times New Roman"/>
        </w:rPr>
        <w:t xml:space="preserve">innymi </w:t>
      </w:r>
      <w:r w:rsidR="008C15A9">
        <w:rPr>
          <w:rFonts w:ascii="Times New Roman" w:hAnsi="Times New Roman" w:cs="Times New Roman"/>
        </w:rPr>
        <w:t xml:space="preserve">badaniami rynku turystyki biznesowej </w:t>
      </w:r>
      <w:r>
        <w:rPr>
          <w:rFonts w:ascii="Times New Roman" w:hAnsi="Times New Roman" w:cs="Times New Roman"/>
        </w:rPr>
        <w:t xml:space="preserve">na świecie i w kraju. Struktura wydatków uczestników spotkań </w:t>
      </w:r>
      <w:r w:rsidR="008C15A9">
        <w:rPr>
          <w:rFonts w:ascii="Times New Roman" w:hAnsi="Times New Roman" w:cs="Times New Roman"/>
        </w:rPr>
        <w:t xml:space="preserve">w Katowicach </w:t>
      </w:r>
      <w:r>
        <w:rPr>
          <w:rFonts w:ascii="Times New Roman" w:hAnsi="Times New Roman" w:cs="Times New Roman"/>
        </w:rPr>
        <w:t>znacząco nie odbiega od</w:t>
      </w:r>
      <w:r w:rsidR="008C15A9">
        <w:rPr>
          <w:rFonts w:ascii="Times New Roman" w:hAnsi="Times New Roman" w:cs="Times New Roman"/>
        </w:rPr>
        <w:t xml:space="preserve"> tej z jaką można się spotkać w </w:t>
      </w:r>
      <w:r>
        <w:rPr>
          <w:rFonts w:ascii="Times New Roman" w:hAnsi="Times New Roman" w:cs="Times New Roman"/>
        </w:rPr>
        <w:t>innych krajach. Intersujące wydają się kwoty przeznac</w:t>
      </w:r>
      <w:r w:rsidR="008C15A9">
        <w:rPr>
          <w:rFonts w:ascii="Times New Roman" w:hAnsi="Times New Roman" w:cs="Times New Roman"/>
        </w:rPr>
        <w:t>zane na poszczególne produkty i </w:t>
      </w:r>
      <w:r>
        <w:rPr>
          <w:rFonts w:ascii="Times New Roman" w:hAnsi="Times New Roman" w:cs="Times New Roman"/>
        </w:rPr>
        <w:t>usługi. Ich analiza przez przedsiębiorcę</w:t>
      </w:r>
      <w:r w:rsidR="008C15A9">
        <w:rPr>
          <w:rFonts w:ascii="Times New Roman" w:hAnsi="Times New Roman" w:cs="Times New Roman"/>
        </w:rPr>
        <w:t>,</w:t>
      </w:r>
      <w:r>
        <w:rPr>
          <w:rFonts w:ascii="Times New Roman" w:hAnsi="Times New Roman" w:cs="Times New Roman"/>
        </w:rPr>
        <w:t xml:space="preserve"> jak i przez administrację samorządową pozwolić może celowo modelować rozwój planowanych inwestycji związanych z obsługą odwiedzających Katowice delegatów. Oszacowanie całkowitego wpływu ekonomicznego turystyki biznesowej na region nie </w:t>
      </w:r>
      <w:r w:rsidR="00F17EDD">
        <w:rPr>
          <w:rFonts w:ascii="Times New Roman" w:hAnsi="Times New Roman" w:cs="Times New Roman"/>
        </w:rPr>
        <w:t>powinno</w:t>
      </w:r>
      <w:r>
        <w:rPr>
          <w:rFonts w:ascii="Times New Roman" w:hAnsi="Times New Roman" w:cs="Times New Roman"/>
        </w:rPr>
        <w:t xml:space="preserve"> polegać na wymnożeniu kwoty wydatkowanej przez delegatów i ich liczby, gdyż nie uwzględni się wtedy </w:t>
      </w:r>
      <w:r w:rsidR="00817505">
        <w:rPr>
          <w:rFonts w:ascii="Times New Roman" w:hAnsi="Times New Roman" w:cs="Times New Roman"/>
        </w:rPr>
        <w:t>wydatków organizatorów (zleceniodawców) poniesionych przed realizacją imprezy</w:t>
      </w:r>
      <w:r w:rsidR="00F17EDD">
        <w:rPr>
          <w:rFonts w:ascii="Times New Roman" w:hAnsi="Times New Roman" w:cs="Times New Roman"/>
        </w:rPr>
        <w:t>,</w:t>
      </w:r>
      <w:r w:rsidR="00817505">
        <w:rPr>
          <w:rFonts w:ascii="Times New Roman" w:hAnsi="Times New Roman" w:cs="Times New Roman"/>
        </w:rPr>
        <w:t xml:space="preserve"> jak i wydatków przedsiębiorstw oraz administracji samorządowej na infrastrukturę do obsługi kongresów i konferencji.</w:t>
      </w:r>
    </w:p>
    <w:p w14:paraId="1AFC362C" w14:textId="2FC5561A" w:rsidR="00817505" w:rsidRDefault="00817505" w:rsidP="00817505">
      <w:pPr>
        <w:spacing w:line="360" w:lineRule="auto"/>
        <w:ind w:firstLine="708"/>
        <w:jc w:val="both"/>
        <w:rPr>
          <w:rFonts w:ascii="Times New Roman" w:hAnsi="Times New Roman" w:cs="Times New Roman"/>
        </w:rPr>
      </w:pPr>
      <w:r>
        <w:rPr>
          <w:rFonts w:ascii="Times New Roman" w:hAnsi="Times New Roman" w:cs="Times New Roman"/>
        </w:rPr>
        <w:t xml:space="preserve">Największa planowana </w:t>
      </w:r>
      <w:r w:rsidR="00F17EDD">
        <w:rPr>
          <w:rFonts w:ascii="Times New Roman" w:hAnsi="Times New Roman" w:cs="Times New Roman"/>
        </w:rPr>
        <w:t xml:space="preserve">w województwie śląskim </w:t>
      </w:r>
      <w:r>
        <w:rPr>
          <w:rFonts w:ascii="Times New Roman" w:hAnsi="Times New Roman" w:cs="Times New Roman"/>
        </w:rPr>
        <w:t xml:space="preserve">inwestycja </w:t>
      </w:r>
      <w:r w:rsidR="00F17EDD">
        <w:rPr>
          <w:rFonts w:ascii="Times New Roman" w:hAnsi="Times New Roman" w:cs="Times New Roman"/>
        </w:rPr>
        <w:t xml:space="preserve">na rzecz rozwoju turystyki biznesowej </w:t>
      </w:r>
      <w:r>
        <w:rPr>
          <w:rFonts w:ascii="Times New Roman" w:hAnsi="Times New Roman" w:cs="Times New Roman"/>
        </w:rPr>
        <w:t xml:space="preserve">to Międzynarodowe Centrum Kongresowe, które pomieści w swoich zasobach jednorazowo ponad 12 tysięcy osób i będzie połączone podziemnym przejściem z Halą Spodek, to wartość ponad 300 mln zł. Zakończenie inwestycji planowane jest na koniec 2014 r.. Budowa i uruchomienie takiego obiektu to nowe miejsca pracy i źródło dochodu wielu lokalnych przedsiębiorców. Na budowie </w:t>
      </w:r>
      <w:r w:rsidR="00F17EDD">
        <w:rPr>
          <w:rFonts w:ascii="Times New Roman" w:hAnsi="Times New Roman" w:cs="Times New Roman"/>
        </w:rPr>
        <w:t xml:space="preserve">już </w:t>
      </w:r>
      <w:r>
        <w:rPr>
          <w:rFonts w:ascii="Times New Roman" w:hAnsi="Times New Roman" w:cs="Times New Roman"/>
        </w:rPr>
        <w:t>znalazł</w:t>
      </w:r>
      <w:r w:rsidR="00F17EDD">
        <w:rPr>
          <w:rFonts w:ascii="Times New Roman" w:hAnsi="Times New Roman" w:cs="Times New Roman"/>
        </w:rPr>
        <w:t>o zatrudnienie ponad 400 osób i </w:t>
      </w:r>
      <w:r>
        <w:rPr>
          <w:rFonts w:ascii="Times New Roman" w:hAnsi="Times New Roman" w:cs="Times New Roman"/>
        </w:rPr>
        <w:t xml:space="preserve">ponad 30 firm podwykonawczych. Po zakończeniu inwestycji operator obiektu zatrudni kilkadziesiąt osób, a realizowane wydarzenia mogą stać się dodatkowym źródłem dochodu </w:t>
      </w:r>
      <w:r w:rsidR="00F17EDD">
        <w:rPr>
          <w:rFonts w:ascii="Times New Roman" w:hAnsi="Times New Roman" w:cs="Times New Roman"/>
        </w:rPr>
        <w:t>dla kolejnych kilkuset osób</w:t>
      </w:r>
      <w:r>
        <w:rPr>
          <w:rFonts w:ascii="Times New Roman" w:hAnsi="Times New Roman" w:cs="Times New Roman"/>
        </w:rPr>
        <w:t xml:space="preserve"> w mieście.</w:t>
      </w:r>
    </w:p>
    <w:p w14:paraId="3AB2FFA9" w14:textId="5771D8D8" w:rsidR="00536559" w:rsidRDefault="00817505" w:rsidP="00536559">
      <w:pPr>
        <w:spacing w:line="360" w:lineRule="auto"/>
        <w:ind w:firstLine="708"/>
        <w:jc w:val="both"/>
        <w:rPr>
          <w:rFonts w:ascii="Times New Roman" w:hAnsi="Times New Roman" w:cs="Times New Roman"/>
        </w:rPr>
      </w:pPr>
      <w:r>
        <w:rPr>
          <w:rFonts w:ascii="Times New Roman" w:hAnsi="Times New Roman" w:cs="Times New Roman"/>
        </w:rPr>
        <w:t>Zatem do</w:t>
      </w:r>
      <w:r w:rsidR="00536559">
        <w:rPr>
          <w:rFonts w:ascii="Times New Roman" w:hAnsi="Times New Roman" w:cs="Times New Roman"/>
        </w:rPr>
        <w:t xml:space="preserve"> pełnego oszacowania </w:t>
      </w:r>
      <w:r>
        <w:rPr>
          <w:rFonts w:ascii="Times New Roman" w:hAnsi="Times New Roman" w:cs="Times New Roman"/>
        </w:rPr>
        <w:t xml:space="preserve">ekonomicznych skutków rozwoju turystyki biznesowej w regionie </w:t>
      </w:r>
      <w:r w:rsidR="00F17EDD">
        <w:rPr>
          <w:rFonts w:ascii="Times New Roman" w:hAnsi="Times New Roman" w:cs="Times New Roman"/>
        </w:rPr>
        <w:t>powinno się</w:t>
      </w:r>
      <w:bookmarkStart w:id="12" w:name="_GoBack"/>
      <w:bookmarkEnd w:id="12"/>
      <w:r w:rsidR="00536559">
        <w:rPr>
          <w:rFonts w:ascii="Times New Roman" w:hAnsi="Times New Roman" w:cs="Times New Roman"/>
        </w:rPr>
        <w:t xml:space="preserve"> </w:t>
      </w:r>
      <w:r w:rsidR="00F17EDD">
        <w:rPr>
          <w:rFonts w:ascii="Times New Roman" w:hAnsi="Times New Roman" w:cs="Times New Roman"/>
        </w:rPr>
        <w:t>uwzględnić i zaplanować</w:t>
      </w:r>
      <w:r w:rsidR="00536559">
        <w:rPr>
          <w:rFonts w:ascii="Times New Roman" w:hAnsi="Times New Roman" w:cs="Times New Roman"/>
        </w:rPr>
        <w:t xml:space="preserve">: wydatki </w:t>
      </w:r>
      <w:r>
        <w:rPr>
          <w:rFonts w:ascii="Times New Roman" w:hAnsi="Times New Roman" w:cs="Times New Roman"/>
        </w:rPr>
        <w:t xml:space="preserve">(prywatnych inwestorów, jak i administracji samorządowej) </w:t>
      </w:r>
      <w:r w:rsidR="00536559">
        <w:rPr>
          <w:rFonts w:ascii="Times New Roman" w:hAnsi="Times New Roman" w:cs="Times New Roman"/>
        </w:rPr>
        <w:t>na inwestycję w infrastrukturę służąca do organizacji oraz obsługi konferencji i kongresów, wydatki zleceniodawców spotkań konferencyjnych w miejscowości</w:t>
      </w:r>
      <w:r>
        <w:rPr>
          <w:rFonts w:ascii="Times New Roman" w:hAnsi="Times New Roman" w:cs="Times New Roman"/>
        </w:rPr>
        <w:t xml:space="preserve"> (czasami długi horyzont czasowy)</w:t>
      </w:r>
      <w:r w:rsidR="00536559">
        <w:rPr>
          <w:rFonts w:ascii="Times New Roman" w:hAnsi="Times New Roman" w:cs="Times New Roman"/>
        </w:rPr>
        <w:t>,</w:t>
      </w:r>
      <w:r>
        <w:rPr>
          <w:rFonts w:ascii="Times New Roman" w:hAnsi="Times New Roman" w:cs="Times New Roman"/>
        </w:rPr>
        <w:t xml:space="preserve"> i to co już jest obserwowane -</w:t>
      </w:r>
      <w:r w:rsidR="00536559">
        <w:rPr>
          <w:rFonts w:ascii="Times New Roman" w:hAnsi="Times New Roman" w:cs="Times New Roman"/>
        </w:rPr>
        <w:t xml:space="preserve"> wydatki delegatów (zarówno w </w:t>
      </w:r>
      <w:r w:rsidR="00077CCC">
        <w:rPr>
          <w:rFonts w:ascii="Times New Roman" w:hAnsi="Times New Roman" w:cs="Times New Roman"/>
        </w:rPr>
        <w:t>obiekcie konferencyjnym jak i w </w:t>
      </w:r>
      <w:r w:rsidR="00536559">
        <w:rPr>
          <w:rFonts w:ascii="Times New Roman" w:hAnsi="Times New Roman" w:cs="Times New Roman"/>
        </w:rPr>
        <w:t>miejscowości).</w:t>
      </w:r>
    </w:p>
    <w:p w14:paraId="36367E6E" w14:textId="77777777" w:rsidR="008143A0" w:rsidRPr="009E4F13" w:rsidRDefault="008143A0" w:rsidP="008143A0">
      <w:pPr>
        <w:spacing w:line="360" w:lineRule="auto"/>
        <w:jc w:val="both"/>
        <w:rPr>
          <w:rFonts w:ascii="Times New Roman" w:hAnsi="Times New Roman" w:cs="Times New Roman"/>
        </w:rPr>
      </w:pPr>
    </w:p>
    <w:p w14:paraId="639D0EE9" w14:textId="77777777" w:rsidR="008143A0" w:rsidRPr="009E4F13" w:rsidRDefault="008143A0" w:rsidP="008143A0">
      <w:pPr>
        <w:spacing w:line="360" w:lineRule="auto"/>
        <w:jc w:val="both"/>
        <w:rPr>
          <w:rFonts w:ascii="Times New Roman" w:hAnsi="Times New Roman" w:cs="Times New Roman"/>
          <w:b/>
        </w:rPr>
      </w:pPr>
      <w:r w:rsidRPr="009E4F13">
        <w:rPr>
          <w:rFonts w:ascii="Times New Roman" w:hAnsi="Times New Roman" w:cs="Times New Roman"/>
          <w:b/>
        </w:rPr>
        <w:t>Bibliografia</w:t>
      </w:r>
    </w:p>
    <w:p w14:paraId="1B51EF64" w14:textId="77777777" w:rsidR="008143A0" w:rsidRPr="00077CCC" w:rsidRDefault="008143A0" w:rsidP="008143A0">
      <w:pPr>
        <w:pStyle w:val="Akapitzlist"/>
        <w:numPr>
          <w:ilvl w:val="0"/>
          <w:numId w:val="16"/>
        </w:numPr>
        <w:suppressAutoHyphens/>
        <w:spacing w:line="360" w:lineRule="auto"/>
        <w:jc w:val="both"/>
        <w:rPr>
          <w:rFonts w:ascii="Times New Roman" w:hAnsi="Times New Roman" w:cs="Times New Roman"/>
          <w:color w:val="000000" w:themeColor="text1"/>
        </w:rPr>
      </w:pPr>
      <w:r w:rsidRPr="009E4F13">
        <w:rPr>
          <w:rFonts w:ascii="Times New Roman" w:hAnsi="Times New Roman" w:cs="Times New Roman"/>
        </w:rPr>
        <w:t xml:space="preserve">Cieślikowski K.: Rynek turystyki biznesowej w Katowicach w 2013 roku. Badanie </w:t>
      </w:r>
      <w:r w:rsidRPr="00077CCC">
        <w:rPr>
          <w:rFonts w:ascii="Times New Roman" w:hAnsi="Times New Roman" w:cs="Times New Roman"/>
          <w:color w:val="000000" w:themeColor="text1"/>
        </w:rPr>
        <w:t>uczestników spotkań konferencyjnych. Katowice Convention Bureau, Katowice 2014</w:t>
      </w:r>
    </w:p>
    <w:p w14:paraId="13D59588" w14:textId="77777777" w:rsidR="00077CCC" w:rsidRPr="00077CCC" w:rsidRDefault="00077CCC" w:rsidP="008143A0">
      <w:pPr>
        <w:pStyle w:val="Akapitzlist"/>
        <w:numPr>
          <w:ilvl w:val="0"/>
          <w:numId w:val="16"/>
        </w:numPr>
        <w:suppressAutoHyphens/>
        <w:spacing w:line="360" w:lineRule="auto"/>
        <w:jc w:val="both"/>
        <w:rPr>
          <w:rFonts w:ascii="Times New Roman" w:hAnsi="Times New Roman" w:cs="Times New Roman"/>
          <w:color w:val="000000" w:themeColor="text1"/>
        </w:rPr>
      </w:pPr>
      <w:r w:rsidRPr="00077CCC">
        <w:rPr>
          <w:rFonts w:ascii="Times New Roman" w:hAnsi="Times New Roman" w:cs="Times New Roman"/>
          <w:color w:val="000000" w:themeColor="text1"/>
        </w:rPr>
        <w:t>Cieślikowski K.: Rynek turystyki biznesowej w Katowicach w 2012 roku. Badanie uczestników spotkań konferencyjnych, Katowice Convention Bureau, Katowice 2013</w:t>
      </w:r>
    </w:p>
    <w:p w14:paraId="54A80BBA" w14:textId="03D637C2" w:rsidR="008143A0" w:rsidRPr="009E4F13" w:rsidRDefault="008143A0" w:rsidP="008143A0">
      <w:pPr>
        <w:pStyle w:val="Akapitzlist"/>
        <w:numPr>
          <w:ilvl w:val="0"/>
          <w:numId w:val="16"/>
        </w:numPr>
        <w:suppressAutoHyphens/>
        <w:spacing w:line="360" w:lineRule="auto"/>
        <w:jc w:val="both"/>
        <w:rPr>
          <w:rFonts w:ascii="Times New Roman" w:hAnsi="Times New Roman" w:cs="Times New Roman"/>
        </w:rPr>
      </w:pPr>
      <w:r w:rsidRPr="00077CCC">
        <w:rPr>
          <w:rFonts w:ascii="Times New Roman" w:hAnsi="Times New Roman" w:cs="Times New Roman"/>
          <w:color w:val="000000" w:themeColor="text1"/>
        </w:rPr>
        <w:t>Davidson R., Cope</w:t>
      </w:r>
      <w:r w:rsidRPr="009E4F13">
        <w:rPr>
          <w:rFonts w:ascii="Times New Roman" w:hAnsi="Times New Roman" w:cs="Times New Roman"/>
        </w:rPr>
        <w:t xml:space="preserve"> B.: Turystyka biznesowa. Konferencje, podróże motywacyjne, wystawy, turystyka korporacyjna. Polska Organizacja Turystyczna, Warszawa 2003</w:t>
      </w:r>
    </w:p>
    <w:p w14:paraId="12DB641B" w14:textId="77777777" w:rsidR="00077CCC" w:rsidRPr="00077CCC" w:rsidRDefault="00077CCC" w:rsidP="00077CCC">
      <w:pPr>
        <w:pStyle w:val="Akapitzlist"/>
        <w:numPr>
          <w:ilvl w:val="0"/>
          <w:numId w:val="16"/>
        </w:numPr>
        <w:suppressAutoHyphens/>
        <w:spacing w:line="360" w:lineRule="auto"/>
        <w:jc w:val="both"/>
        <w:rPr>
          <w:rFonts w:ascii="Times New Roman" w:hAnsi="Times New Roman" w:cs="Times New Roman"/>
        </w:rPr>
      </w:pPr>
      <w:r w:rsidRPr="00077CCC">
        <w:rPr>
          <w:rFonts w:ascii="Times New Roman" w:hAnsi="Times New Roman" w:cs="Times New Roman"/>
          <w:lang w:val="en-US"/>
        </w:rPr>
        <w:t xml:space="preserve">Lee W., Josiam B.M.: </w:t>
      </w:r>
      <w:r w:rsidRPr="00077CCC">
        <w:rPr>
          <w:rFonts w:ascii="Times New Roman" w:hAnsi="Times New Roman" w:cs="Times New Roman"/>
          <w:iCs/>
          <w:lang w:val="en-US"/>
        </w:rPr>
        <w:t>A Framework For Assessing National Convention Tourism Competitiveness: An Exploratory Study.</w:t>
      </w:r>
      <w:r w:rsidRPr="00077CCC">
        <w:rPr>
          <w:rFonts w:ascii="Times New Roman" w:hAnsi="Times New Roman" w:cs="Times New Roman"/>
          <w:lang w:val="en-US"/>
        </w:rPr>
        <w:t xml:space="preserve"> Journal of International Business and Entrepreneurship Development, Vol. 2 No. 2 (Special Issue), August 2004</w:t>
      </w:r>
    </w:p>
    <w:p w14:paraId="49F7D79F" w14:textId="0F041DB6" w:rsidR="00077CCC" w:rsidRPr="00077CCC" w:rsidRDefault="00077CCC" w:rsidP="008143A0">
      <w:pPr>
        <w:pStyle w:val="Akapitzlist"/>
        <w:numPr>
          <w:ilvl w:val="0"/>
          <w:numId w:val="16"/>
        </w:numPr>
        <w:suppressAutoHyphens/>
        <w:spacing w:line="360" w:lineRule="auto"/>
        <w:jc w:val="both"/>
        <w:rPr>
          <w:rFonts w:ascii="Times New Roman" w:hAnsi="Times New Roman" w:cs="Times New Roman"/>
        </w:rPr>
      </w:pPr>
      <w:r w:rsidRPr="00077CCC">
        <w:rPr>
          <w:rFonts w:ascii="Times New Roman" w:hAnsi="Times New Roman" w:cs="Times New Roman"/>
        </w:rPr>
        <w:t>Oppermann</w:t>
      </w:r>
      <w:r>
        <w:rPr>
          <w:rFonts w:ascii="Times New Roman" w:hAnsi="Times New Roman" w:cs="Times New Roman"/>
        </w:rPr>
        <w:t xml:space="preserve"> M.</w:t>
      </w:r>
      <w:r w:rsidRPr="00077CCC">
        <w:rPr>
          <w:rFonts w:ascii="Times New Roman" w:hAnsi="Times New Roman" w:cs="Times New Roman"/>
        </w:rPr>
        <w:t>: Convention destination images: analysis of association meeting planners’ perceptions. Tourism Management. 1996, vol. 17.</w:t>
      </w:r>
    </w:p>
    <w:p w14:paraId="6EA4D673" w14:textId="14CE0CCA" w:rsidR="008C5D57" w:rsidRDefault="00077CCC" w:rsidP="00077CCC">
      <w:pPr>
        <w:pStyle w:val="Akapitzlist"/>
        <w:numPr>
          <w:ilvl w:val="0"/>
          <w:numId w:val="16"/>
        </w:numPr>
        <w:suppressAutoHyphens/>
        <w:spacing w:line="360" w:lineRule="auto"/>
        <w:jc w:val="both"/>
        <w:rPr>
          <w:rFonts w:ascii="Times New Roman" w:hAnsi="Times New Roman" w:cs="Times New Roman"/>
        </w:rPr>
      </w:pPr>
      <w:r w:rsidRPr="00077CCC">
        <w:rPr>
          <w:rFonts w:ascii="Times New Roman" w:hAnsi="Times New Roman" w:cs="Times New Roman"/>
        </w:rPr>
        <w:t>Seweryn R.: Zachowania uczestników turystyki kongresowej (na podstawie wyników badań ruchu turystycznego w Krakowie). Zeszyty Naukowe nr 704, Akademia Ekonomiczna w Krakowie, Kraków 2006</w:t>
      </w:r>
    </w:p>
    <w:p w14:paraId="6FDDA95D" w14:textId="4F678D8F" w:rsidR="00F74149" w:rsidRPr="00077CCC" w:rsidRDefault="00F74149" w:rsidP="00077CCC">
      <w:pPr>
        <w:pStyle w:val="Akapitzlist"/>
        <w:numPr>
          <w:ilvl w:val="0"/>
          <w:numId w:val="16"/>
        </w:numPr>
        <w:suppressAutoHyphens/>
        <w:spacing w:line="360" w:lineRule="auto"/>
        <w:jc w:val="both"/>
        <w:rPr>
          <w:rFonts w:ascii="Times New Roman" w:hAnsi="Times New Roman" w:cs="Times New Roman"/>
        </w:rPr>
      </w:pPr>
      <w:r w:rsidRPr="00F74149">
        <w:rPr>
          <w:rFonts w:ascii="Times New Roman" w:hAnsi="Times New Roman" w:cs="Times New Roman"/>
        </w:rPr>
        <w:t xml:space="preserve">Rogers </w:t>
      </w:r>
      <w:r>
        <w:rPr>
          <w:rFonts w:ascii="Times New Roman" w:hAnsi="Times New Roman" w:cs="Times New Roman"/>
        </w:rPr>
        <w:t>T.</w:t>
      </w:r>
      <w:r w:rsidRPr="00F74149">
        <w:rPr>
          <w:rFonts w:ascii="Times New Roman" w:hAnsi="Times New Roman" w:cs="Times New Roman"/>
        </w:rPr>
        <w:t>: Conferences and Conventions. A global industry. Elsevier Butterworth-Heinemann, Oxford 2004</w:t>
      </w:r>
    </w:p>
    <w:sectPr w:rsidR="00F74149" w:rsidRPr="00077CCC" w:rsidSect="00CE678A">
      <w:footerReference w:type="even" r:id="rId10"/>
      <w:footerReference w:type="default" r:id="rId11"/>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42420" w14:textId="77777777" w:rsidR="008C15A9" w:rsidRDefault="008C15A9" w:rsidP="000951E8">
      <w:r>
        <w:separator/>
      </w:r>
    </w:p>
  </w:endnote>
  <w:endnote w:type="continuationSeparator" w:id="0">
    <w:p w14:paraId="11D37EC1" w14:textId="77777777" w:rsidR="008C15A9" w:rsidRDefault="008C15A9" w:rsidP="0009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CE">
    <w:panose1 w:val="020B0600040502020204"/>
    <w:charset w:val="58"/>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52CBD" w14:textId="77777777" w:rsidR="008C15A9" w:rsidRDefault="008C15A9" w:rsidP="00116B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1EE2F3" w14:textId="77777777" w:rsidR="008C15A9" w:rsidRDefault="008C15A9" w:rsidP="00116B6E">
    <w:pPr>
      <w:pStyle w:val="Stopk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70C8F" w14:textId="77777777" w:rsidR="008C15A9" w:rsidRDefault="008C15A9" w:rsidP="00116B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17EDD">
      <w:rPr>
        <w:rStyle w:val="Numerstrony"/>
        <w:noProof/>
      </w:rPr>
      <w:t>1</w:t>
    </w:r>
    <w:r>
      <w:rPr>
        <w:rStyle w:val="Numerstrony"/>
      </w:rPr>
      <w:fldChar w:fldCharType="end"/>
    </w:r>
  </w:p>
  <w:p w14:paraId="4A17027B" w14:textId="77777777" w:rsidR="008C15A9" w:rsidRDefault="008C15A9" w:rsidP="00116B6E">
    <w:pPr>
      <w:pStyle w:val="Stopk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6808A" w14:textId="77777777" w:rsidR="008C15A9" w:rsidRDefault="008C15A9" w:rsidP="000951E8">
      <w:r>
        <w:separator/>
      </w:r>
    </w:p>
  </w:footnote>
  <w:footnote w:type="continuationSeparator" w:id="0">
    <w:p w14:paraId="30070638" w14:textId="77777777" w:rsidR="008C15A9" w:rsidRDefault="008C15A9" w:rsidP="000951E8">
      <w:r>
        <w:continuationSeparator/>
      </w:r>
    </w:p>
  </w:footnote>
  <w:footnote w:id="1">
    <w:p w14:paraId="04CA127A" w14:textId="77777777" w:rsidR="008C15A9" w:rsidRPr="002D4395" w:rsidRDefault="008C15A9" w:rsidP="004B1B73">
      <w:pPr>
        <w:pStyle w:val="Tekstprzypisudolnego"/>
        <w:jc w:val="both"/>
      </w:pPr>
      <w:r w:rsidRPr="002D4395">
        <w:rPr>
          <w:rStyle w:val="Odwoanieprzypisudolnego"/>
        </w:rPr>
        <w:footnoteRef/>
      </w:r>
      <w:r w:rsidRPr="002D4395">
        <w:t xml:space="preserve"> </w:t>
      </w:r>
      <w:r w:rsidRPr="002D4395">
        <w:rPr>
          <w:iCs/>
        </w:rPr>
        <w:t>Indywidualne podróże służbowe</w:t>
      </w:r>
      <w:r w:rsidRPr="002D4395">
        <w:t xml:space="preserve"> cechuje brak dowolności wyboru miejsca i czasu ich realizacji, są one rutynowe – realizowane w ramach obowiązków służbowych, często odbywane samotnie (prezentacje, konsultacje, badania, spotkania „jeden na jeden”).</w:t>
      </w:r>
    </w:p>
  </w:footnote>
  <w:footnote w:id="2">
    <w:p w14:paraId="57338412" w14:textId="77777777" w:rsidR="008C15A9" w:rsidRPr="002D4395" w:rsidRDefault="008C15A9" w:rsidP="004B1B73">
      <w:pPr>
        <w:pStyle w:val="Tekstprzypisudolnego"/>
        <w:jc w:val="both"/>
      </w:pPr>
      <w:r w:rsidRPr="002D4395">
        <w:rPr>
          <w:rStyle w:val="Odwoanieprzypisudolnego"/>
        </w:rPr>
        <w:footnoteRef/>
      </w:r>
      <w:r w:rsidRPr="002D4395">
        <w:t xml:space="preserve"> W brytyjskich badaniach rynku spotkań konferencyjnych minimalna liczba uczestników zliczanych spotkań wynosi 8 osób. W warunkach polskich ze względu na to, iż w obiektach konferencyjnych są sale o pow</w:t>
      </w:r>
      <w:r>
        <w:t>ierzchni</w:t>
      </w:r>
      <w:r w:rsidRPr="002D4395">
        <w:t xml:space="preserve"> 20 m</w:t>
      </w:r>
      <w:r w:rsidRPr="002D4395">
        <w:rPr>
          <w:vertAlign w:val="superscript"/>
        </w:rPr>
        <w:t>2</w:t>
      </w:r>
      <w:r w:rsidRPr="002F6EBA">
        <w:t xml:space="preserve"> </w:t>
      </w:r>
      <w:r w:rsidRPr="002D4395">
        <w:t>– czyli idealne dla spotkania 8 osób. W badaniach Poland Convention Bureau uwzględniono spotkania 10 i więcej</w:t>
      </w:r>
      <w:r w:rsidRPr="00445C98">
        <w:t xml:space="preserve"> </w:t>
      </w:r>
      <w:r w:rsidRPr="002D4395">
        <w:t>osób.</w:t>
      </w:r>
    </w:p>
  </w:footnote>
  <w:footnote w:id="3">
    <w:p w14:paraId="6E5E97C1" w14:textId="77777777" w:rsidR="008C15A9" w:rsidRPr="002D4395" w:rsidRDefault="008C15A9" w:rsidP="004B1B73">
      <w:pPr>
        <w:pStyle w:val="Tekstprzypisudolnego"/>
        <w:jc w:val="both"/>
      </w:pPr>
      <w:r w:rsidRPr="002D4395">
        <w:rPr>
          <w:rStyle w:val="Odwoanieprzypisudolnego"/>
        </w:rPr>
        <w:footnoteRef/>
      </w:r>
      <w:r w:rsidRPr="002D4395">
        <w:t xml:space="preserve"> Należy jednak pamiętać o hybrydowym charakterze turystyki biznesowej, gdyż konferencje są bardzo często elementem podróży motywacyjnej (</w:t>
      </w:r>
      <w:r w:rsidRPr="002F6EBA">
        <w:rPr>
          <w:i/>
        </w:rPr>
        <w:t>incentive travel</w:t>
      </w:r>
      <w:r w:rsidRPr="002D4395">
        <w:t>), a przy okazji konferencji organizowane są też targi i</w:t>
      </w:r>
      <w:r>
        <w:t xml:space="preserve"> </w:t>
      </w:r>
      <w:r w:rsidRPr="002D4395">
        <w:t>wystawy.</w:t>
      </w:r>
    </w:p>
  </w:footnote>
  <w:footnote w:id="4">
    <w:p w14:paraId="3DF0B290" w14:textId="77777777" w:rsidR="008C15A9" w:rsidRPr="002D4395" w:rsidRDefault="008C15A9" w:rsidP="004B1B73">
      <w:pPr>
        <w:pStyle w:val="Tekstprzypisudolnego"/>
        <w:jc w:val="both"/>
      </w:pPr>
      <w:r w:rsidRPr="002D4395">
        <w:rPr>
          <w:rStyle w:val="Odwoanieprzypisudolnego"/>
        </w:rPr>
        <w:footnoteRef/>
      </w:r>
      <w:r w:rsidRPr="002D4395">
        <w:t xml:space="preserve"> </w:t>
      </w:r>
      <w:r>
        <w:t>P</w:t>
      </w:r>
      <w:r w:rsidRPr="002D4395">
        <w:t>or. K. Cieślikowski</w:t>
      </w:r>
      <w:r>
        <w:t>,</w:t>
      </w:r>
      <w:r w:rsidRPr="002D4395">
        <w:t xml:space="preserve"> </w:t>
      </w:r>
      <w:r w:rsidRPr="002D4395">
        <w:rPr>
          <w:i/>
        </w:rPr>
        <w:t>Rynek turystyki biznesowej w Katowicach w 2012 roku. Badanie uczestników spotkań konferencyjnych</w:t>
      </w:r>
      <w:r>
        <w:t>,</w:t>
      </w:r>
      <w:r w:rsidRPr="002D4395">
        <w:t xml:space="preserve"> Katowice Convention Bureau, Katowice 2013</w:t>
      </w:r>
      <w:r>
        <w:t>.</w:t>
      </w:r>
    </w:p>
  </w:footnote>
  <w:footnote w:id="5">
    <w:p w14:paraId="163AF571" w14:textId="77777777" w:rsidR="008C15A9" w:rsidRPr="008146AF" w:rsidRDefault="008C15A9" w:rsidP="00192E1F">
      <w:pPr>
        <w:pStyle w:val="Tekstprzypisudolnego"/>
        <w:numPr>
          <w:ilvl w:val="12"/>
          <w:numId w:val="0"/>
        </w:numPr>
        <w:ind w:left="142" w:hanging="142"/>
        <w:jc w:val="both"/>
        <w:rPr>
          <w:lang w:val="de-DE"/>
        </w:rPr>
      </w:pPr>
      <w:r w:rsidRPr="008146AF">
        <w:rPr>
          <w:rStyle w:val="Odwoanieprzypisudolnego"/>
        </w:rPr>
        <w:footnoteRef/>
      </w:r>
      <w:r w:rsidRPr="008146AF">
        <w:rPr>
          <w:lang w:val="de-DE"/>
        </w:rPr>
        <w:t xml:space="preserve"> M. Oppermann: </w:t>
      </w:r>
      <w:r w:rsidRPr="008146AF">
        <w:rPr>
          <w:i/>
          <w:lang w:val="de-DE"/>
        </w:rPr>
        <w:t>Convention destination images: analysis of association meeting planners’ perceptions</w:t>
      </w:r>
      <w:r w:rsidRPr="008146AF">
        <w:rPr>
          <w:lang w:val="de-DE"/>
        </w:rPr>
        <w:t>. Tourism Management. 1996, vol. 17. No 3 p. 175-182</w:t>
      </w:r>
      <w:r>
        <w:rPr>
          <w:lang w:val="de-DE"/>
        </w:rPr>
        <w:t>.</w:t>
      </w:r>
    </w:p>
  </w:footnote>
  <w:footnote w:id="6">
    <w:p w14:paraId="6EE6B788" w14:textId="77777777" w:rsidR="008C15A9" w:rsidRPr="004934BC" w:rsidRDefault="008C15A9" w:rsidP="00192E1F">
      <w:pPr>
        <w:pStyle w:val="Tekstprzypisudolnego"/>
        <w:ind w:left="142" w:hanging="142"/>
        <w:rPr>
          <w:lang w:val="pl-PL"/>
        </w:rPr>
      </w:pPr>
      <w:r w:rsidRPr="008146AF">
        <w:rPr>
          <w:rStyle w:val="Odwoanieprzypisudolnego"/>
        </w:rPr>
        <w:footnoteRef/>
      </w:r>
      <w:r w:rsidRPr="008146AF">
        <w:t xml:space="preserve"> Por. R. Seweryn: </w:t>
      </w:r>
      <w:r w:rsidRPr="008146AF">
        <w:rPr>
          <w:i/>
        </w:rPr>
        <w:t>Zachowania uczestników turystyki kongresowej (na podstawie wyników badań ruchu turystycznego w Krakowie).</w:t>
      </w:r>
      <w:r w:rsidRPr="008146AF">
        <w:t xml:space="preserve"> Zeszyty Naukowe nr 704, Akademia Ekonomiczna w Krakowie, 2006, s. 51</w:t>
      </w:r>
      <w:r>
        <w:rPr>
          <w:lang w:val="pl-PL"/>
        </w:rPr>
        <w:t>.</w:t>
      </w:r>
    </w:p>
  </w:footnote>
  <w:footnote w:id="7">
    <w:p w14:paraId="241BC130" w14:textId="77777777" w:rsidR="008C15A9" w:rsidRPr="007E01BB" w:rsidRDefault="008C15A9" w:rsidP="00192E1F">
      <w:pPr>
        <w:pStyle w:val="Tekstprzypisudolnego"/>
        <w:ind w:left="142" w:hanging="142"/>
        <w:jc w:val="both"/>
        <w:rPr>
          <w:lang w:val="pl-PL"/>
        </w:rPr>
      </w:pPr>
      <w:r w:rsidRPr="008146AF">
        <w:rPr>
          <w:rStyle w:val="Odwoanieprzypisudolnego"/>
        </w:rPr>
        <w:footnoteRef/>
      </w:r>
      <w:r w:rsidRPr="008146AF">
        <w:rPr>
          <w:lang w:val="de-DE"/>
        </w:rPr>
        <w:t xml:space="preserve"> Uczestnicy niektórych spotkań konferencyjnych (szczególnie „otwartych”, organizowanych przez stowarzyszenia) podchodzą elastycznie do wyboru miejsca spotkania. </w:t>
      </w:r>
      <w:r w:rsidRPr="008146AF">
        <w:t>Członkowie stowarzyszeń, instytucji i firm, biorący udział w kongresach robią to najczęściej z własnego wyboru i w całości lub części na własny rachunek. Jednak spotkania konferencyjne (głównie te realizowane przez korporacje) zazwyczaj są obowiązkowe dla uczestników, a koszty uczestnictwa pokrywane są w całości przez pracodawców</w:t>
      </w:r>
      <w:r>
        <w:rPr>
          <w:lang w:val="pl-PL"/>
        </w:rPr>
        <w:t>.</w:t>
      </w:r>
    </w:p>
  </w:footnote>
  <w:footnote w:id="8">
    <w:p w14:paraId="57CF0DC0" w14:textId="77777777" w:rsidR="008C15A9" w:rsidRPr="008146AF" w:rsidRDefault="008C15A9" w:rsidP="00192E1F">
      <w:pPr>
        <w:pStyle w:val="Tekstprzypisudolnego"/>
        <w:ind w:left="142" w:hanging="142"/>
        <w:jc w:val="both"/>
      </w:pPr>
      <w:r w:rsidRPr="008146AF">
        <w:rPr>
          <w:rStyle w:val="Odwoanieprzypisudolnego"/>
        </w:rPr>
        <w:footnoteRef/>
      </w:r>
      <w:r w:rsidRPr="008146AF">
        <w:t xml:space="preserve"> Spotkania otwarte to takie spotkania grupowe, na które nie było imiennych zaproszeń. To spotkania</w:t>
      </w:r>
      <w:r>
        <w:rPr>
          <w:lang w:val="pl-PL"/>
        </w:rPr>
        <w:t>,</w:t>
      </w:r>
      <w:r>
        <w:t xml:space="preserve"> w</w:t>
      </w:r>
      <w:r>
        <w:rPr>
          <w:lang w:val="pl-PL"/>
        </w:rPr>
        <w:t> </w:t>
      </w:r>
      <w:r w:rsidRPr="008146AF">
        <w:t>których uczestniczyć może każda kwalifikująca się osoba, która wyśle w terminie zgłoszenie i ewentualnie opłatę z uczestnictwo.</w:t>
      </w:r>
    </w:p>
  </w:footnote>
  <w:footnote w:id="9">
    <w:p w14:paraId="7E4FE1BB" w14:textId="5784D6FF" w:rsidR="008C15A9" w:rsidRPr="00F976F1" w:rsidRDefault="008C15A9">
      <w:pPr>
        <w:pStyle w:val="Tekstprzypisudolnego"/>
        <w:rPr>
          <w:lang w:val="pl-PL"/>
        </w:rPr>
      </w:pPr>
      <w:r>
        <w:rPr>
          <w:rStyle w:val="Odwoanieprzypisudolnego"/>
        </w:rPr>
        <w:footnoteRef/>
      </w:r>
      <w:r>
        <w:t xml:space="preserve"> </w:t>
      </w:r>
      <w:r w:rsidRPr="00F976F1">
        <w:t xml:space="preserve">The National Business Events Study (NBES). Cooperative Research Centre </w:t>
      </w:r>
      <w:r>
        <w:t xml:space="preserve">for Sustainable Tourism (STCRC), Australia </w:t>
      </w:r>
      <w:r w:rsidRPr="00F976F1">
        <w:t>2005</w:t>
      </w:r>
    </w:p>
  </w:footnote>
  <w:footnote w:id="10">
    <w:p w14:paraId="1D324BA9" w14:textId="73DCE597" w:rsidR="008C15A9" w:rsidRPr="00F976F1" w:rsidRDefault="008C15A9">
      <w:pPr>
        <w:pStyle w:val="Tekstprzypisudolnego"/>
        <w:rPr>
          <w:lang w:val="pl-PL"/>
        </w:rPr>
      </w:pPr>
      <w:r>
        <w:rPr>
          <w:rStyle w:val="Odwoanieprzypisudolnego"/>
        </w:rPr>
        <w:footnoteRef/>
      </w:r>
      <w:r>
        <w:t xml:space="preserve"> </w:t>
      </w:r>
      <w:r w:rsidRPr="00F976F1">
        <w:t>The Economic Contribution of Meetings Activity in Canada. Maritz Research Canada, 2008</w:t>
      </w:r>
    </w:p>
  </w:footnote>
  <w:footnote w:id="11">
    <w:p w14:paraId="6FE2D226" w14:textId="7D6DD40E" w:rsidR="008C15A9" w:rsidRPr="00F976F1" w:rsidRDefault="008C15A9">
      <w:pPr>
        <w:pStyle w:val="Tekstprzypisudolnego"/>
        <w:rPr>
          <w:lang w:val="pl-PL"/>
        </w:rPr>
      </w:pPr>
      <w:r>
        <w:rPr>
          <w:rStyle w:val="Odwoanieprzypisudolnego"/>
        </w:rPr>
        <w:footnoteRef/>
      </w:r>
      <w:r>
        <w:t xml:space="preserve"> </w:t>
      </w:r>
      <w:r w:rsidRPr="00F976F1">
        <w:t>The Economic Significance of Meetings to the US Economy. PricewaterhouseCoopers, 2011</w:t>
      </w:r>
    </w:p>
  </w:footnote>
  <w:footnote w:id="12">
    <w:p w14:paraId="3FD69CCE" w14:textId="744D7788" w:rsidR="008C15A9" w:rsidRPr="00F976F1" w:rsidRDefault="008C15A9">
      <w:pPr>
        <w:pStyle w:val="Tekstprzypisudolnego"/>
        <w:rPr>
          <w:lang w:val="pl-PL"/>
        </w:rPr>
      </w:pPr>
      <w:r>
        <w:rPr>
          <w:rStyle w:val="Odwoanieprzypisudolnego"/>
        </w:rPr>
        <w:footnoteRef/>
      </w:r>
      <w:r>
        <w:t xml:space="preserve"> </w:t>
      </w:r>
      <w:r w:rsidRPr="00F976F1">
        <w:t>The Economic Significance of Meetings to Mexico. PricewaterhouseCoopers 2011</w:t>
      </w:r>
    </w:p>
  </w:footnote>
  <w:footnote w:id="13">
    <w:p w14:paraId="2D9A1C60" w14:textId="0EBDFF0D" w:rsidR="008C15A9" w:rsidRPr="00F976F1" w:rsidRDefault="008C15A9">
      <w:pPr>
        <w:pStyle w:val="Tekstprzypisudolnego"/>
        <w:rPr>
          <w:lang w:val="pl-PL"/>
        </w:rPr>
      </w:pPr>
      <w:r>
        <w:rPr>
          <w:rStyle w:val="Odwoanieprzypisudolnego"/>
        </w:rPr>
        <w:footnoteRef/>
      </w:r>
      <w:r>
        <w:t xml:space="preserve"> </w:t>
      </w:r>
      <w:r w:rsidRPr="00F976F1">
        <w:t>The Economic Contribution of Meeting Activity in Denmark. Visit Denmark 2012</w:t>
      </w:r>
    </w:p>
  </w:footnote>
  <w:footnote w:id="14">
    <w:p w14:paraId="256F0B86" w14:textId="77777777" w:rsidR="008C15A9" w:rsidRPr="008146AF" w:rsidRDefault="008C15A9" w:rsidP="000951E8">
      <w:pPr>
        <w:pStyle w:val="Tekstprzypisudolnego"/>
        <w:ind w:left="284" w:hanging="284"/>
        <w:jc w:val="both"/>
      </w:pPr>
      <w:r w:rsidRPr="008146AF">
        <w:rPr>
          <w:rStyle w:val="Odwoanieprzypisudolnego"/>
        </w:rPr>
        <w:footnoteRef/>
      </w:r>
      <w:r>
        <w:t xml:space="preserve"> </w:t>
      </w:r>
      <w:r>
        <w:rPr>
          <w:lang w:val="pl-PL"/>
        </w:rPr>
        <w:t>B</w:t>
      </w:r>
      <w:r w:rsidRPr="008146AF">
        <w:t>adania podejmowano w 1997, później w 2001 oraz w 2005 przez VisitBritain, VisitScotland, VisitWales i Failte Ireland; uczestniczące razem w nowym programie badań.</w:t>
      </w:r>
    </w:p>
  </w:footnote>
  <w:footnote w:id="15">
    <w:p w14:paraId="3117C90D" w14:textId="79B100C2" w:rsidR="008C15A9" w:rsidRPr="00F976F1" w:rsidRDefault="008C15A9">
      <w:pPr>
        <w:pStyle w:val="Tekstprzypisudolnego"/>
        <w:rPr>
          <w:lang w:val="pl-PL"/>
        </w:rPr>
      </w:pPr>
      <w:r>
        <w:rPr>
          <w:rStyle w:val="Odwoanieprzypisudolnego"/>
        </w:rPr>
        <w:footnoteRef/>
      </w:r>
      <w:r>
        <w:t xml:space="preserve"> </w:t>
      </w:r>
      <w:r w:rsidRPr="00245910">
        <w:t>British Conference Market Survey 2006, London 2007</w:t>
      </w:r>
    </w:p>
  </w:footnote>
  <w:footnote w:id="16">
    <w:p w14:paraId="3019D445" w14:textId="77777777" w:rsidR="008C15A9" w:rsidRPr="002A4230" w:rsidRDefault="008C15A9" w:rsidP="000951E8">
      <w:pPr>
        <w:pStyle w:val="Tekstprzypisudolnego"/>
        <w:jc w:val="both"/>
        <w:rPr>
          <w:lang w:val="pl-PL"/>
        </w:rPr>
      </w:pPr>
      <w:r w:rsidRPr="008146AF">
        <w:rPr>
          <w:rStyle w:val="Odwoanieprzypisudolnego"/>
        </w:rPr>
        <w:footnoteRef/>
      </w:r>
      <w:r w:rsidRPr="002A4230">
        <w:rPr>
          <w:lang w:val="pl-PL"/>
        </w:rPr>
        <w:t xml:space="preserve"> </w:t>
      </w:r>
      <w:r>
        <w:rPr>
          <w:lang w:val="pl-PL"/>
        </w:rPr>
        <w:t>W</w:t>
      </w:r>
      <w:r w:rsidRPr="002A4230">
        <w:rPr>
          <w:lang w:val="pl-PL"/>
        </w:rPr>
        <w:t xml:space="preserve"> tym 150 to ośrodki akademickie.</w:t>
      </w:r>
    </w:p>
  </w:footnote>
  <w:footnote w:id="17">
    <w:p w14:paraId="69F12492" w14:textId="55603C53" w:rsidR="008C15A9" w:rsidRPr="008146AF" w:rsidRDefault="008C15A9" w:rsidP="000951E8">
      <w:pPr>
        <w:pStyle w:val="Tekstprzypisudolnego"/>
        <w:jc w:val="both"/>
        <w:rPr>
          <w:lang w:val="en-US"/>
        </w:rPr>
      </w:pPr>
      <w:r w:rsidRPr="008146AF">
        <w:rPr>
          <w:rStyle w:val="Odwoanieprzypisudolnego"/>
        </w:rPr>
        <w:footnoteRef/>
      </w:r>
      <w:r w:rsidRPr="008146AF">
        <w:rPr>
          <w:lang w:val="en-US"/>
        </w:rPr>
        <w:t xml:space="preserve"> British Conference Market Survey 2002, w </w:t>
      </w:r>
      <w:r w:rsidRPr="00F74149">
        <w:rPr>
          <w:lang w:val="en-US"/>
        </w:rPr>
        <w:t>T. Rogers : Conferences and Conventions. A global industry. Elsevier Butterworth-Heinemann, Oxford 2004</w:t>
      </w:r>
      <w:r>
        <w:rPr>
          <w:lang w:val="en-US"/>
        </w:rPr>
        <w:t>, s. 70.</w:t>
      </w:r>
    </w:p>
  </w:footnote>
  <w:footnote w:id="18">
    <w:p w14:paraId="6314D625" w14:textId="77777777" w:rsidR="008C15A9" w:rsidRPr="008146AF" w:rsidRDefault="008C15A9" w:rsidP="000951E8">
      <w:pPr>
        <w:pStyle w:val="Tekstprzypisudolnego"/>
        <w:jc w:val="both"/>
        <w:rPr>
          <w:lang w:val="en-US"/>
        </w:rPr>
      </w:pPr>
      <w:r w:rsidRPr="008146AF">
        <w:rPr>
          <w:rStyle w:val="Odwoanieprzypisudolnego"/>
        </w:rPr>
        <w:footnoteRef/>
      </w:r>
      <w:r w:rsidRPr="008146AF">
        <w:rPr>
          <w:lang w:val="en-US"/>
        </w:rPr>
        <w:t xml:space="preserve"> UK Conference Market Survey 2002, </w:t>
      </w:r>
      <w:r w:rsidRPr="002A4230">
        <w:rPr>
          <w:lang w:val="en-US"/>
        </w:rPr>
        <w:t>www.businesstourismpartnership.com</w:t>
      </w:r>
    </w:p>
  </w:footnote>
  <w:footnote w:id="19">
    <w:p w14:paraId="316832DE" w14:textId="77777777" w:rsidR="008C15A9" w:rsidRPr="008146AF" w:rsidRDefault="008C15A9" w:rsidP="000951E8">
      <w:pPr>
        <w:pStyle w:val="Tekstprzypisudolnego"/>
        <w:jc w:val="both"/>
        <w:rPr>
          <w:lang w:val="en-US"/>
        </w:rPr>
      </w:pPr>
      <w:r w:rsidRPr="008146AF">
        <w:rPr>
          <w:rStyle w:val="Odwoanieprzypisudolnego"/>
        </w:rPr>
        <w:footnoteRef/>
      </w:r>
      <w:r w:rsidRPr="008146AF">
        <w:rPr>
          <w:lang w:val="en-US"/>
        </w:rPr>
        <w:t xml:space="preserve"> Delegate Expenditure Survey 2006, UK National Tourist Boards. London 2007</w:t>
      </w:r>
      <w:r>
        <w:rPr>
          <w:lang w:val="en-US"/>
        </w:rPr>
        <w:t>.</w:t>
      </w:r>
    </w:p>
  </w:footnote>
  <w:footnote w:id="20">
    <w:p w14:paraId="057437EF" w14:textId="77777777" w:rsidR="008C15A9" w:rsidRPr="008146AF" w:rsidRDefault="008C15A9" w:rsidP="000951E8">
      <w:pPr>
        <w:pStyle w:val="Tekstprzypisudolnego"/>
        <w:jc w:val="both"/>
        <w:rPr>
          <w:lang w:val="en-US"/>
        </w:rPr>
      </w:pPr>
      <w:r w:rsidRPr="008146AF">
        <w:rPr>
          <w:rStyle w:val="Odwoanieprzypisudolnego"/>
        </w:rPr>
        <w:footnoteRef/>
      </w:r>
      <w:r w:rsidRPr="008146AF">
        <w:rPr>
          <w:lang w:val="en-US"/>
        </w:rPr>
        <w:t xml:space="preserve"> Conference Delegate Expenditure Survey. </w:t>
      </w:r>
      <w:r w:rsidRPr="002A4230">
        <w:rPr>
          <w:lang w:val="en-US"/>
        </w:rPr>
        <w:t>www.businesstourismpartnership.com</w:t>
      </w:r>
    </w:p>
  </w:footnote>
  <w:footnote w:id="21">
    <w:p w14:paraId="569271A9" w14:textId="62A6EB55" w:rsidR="008C15A9" w:rsidRPr="008146AF" w:rsidRDefault="008C15A9" w:rsidP="000951E8">
      <w:pPr>
        <w:pStyle w:val="Tekstprzypisudolnego"/>
        <w:ind w:left="284" w:hanging="284"/>
        <w:jc w:val="both"/>
        <w:rPr>
          <w:lang w:val="en-US"/>
        </w:rPr>
      </w:pPr>
      <w:r w:rsidRPr="008146AF">
        <w:rPr>
          <w:rStyle w:val="Odwoanieprzypisudolnego"/>
        </w:rPr>
        <w:footnoteRef/>
      </w:r>
      <w:r w:rsidRPr="008146AF">
        <w:rPr>
          <w:lang w:val="en-US"/>
        </w:rPr>
        <w:t xml:space="preserve"> The British Conference Market Trends Survey. </w:t>
      </w:r>
      <w:r w:rsidRPr="00767161">
        <w:rPr>
          <w:lang w:val="en-US"/>
        </w:rPr>
        <w:t>www.businesstourismpartnership.com</w:t>
      </w:r>
      <w:r w:rsidRPr="008146AF">
        <w:rPr>
          <w:lang w:val="en-US"/>
        </w:rPr>
        <w:t xml:space="preserve"> </w:t>
      </w:r>
    </w:p>
  </w:footnote>
  <w:footnote w:id="22">
    <w:p w14:paraId="4B1F562E" w14:textId="587FFC23" w:rsidR="008C15A9" w:rsidRPr="008146AF" w:rsidRDefault="008C15A9" w:rsidP="000951E8">
      <w:pPr>
        <w:pStyle w:val="Tekstprzypisudolnego"/>
        <w:ind w:left="284" w:hanging="284"/>
        <w:rPr>
          <w:lang w:val="en-US"/>
        </w:rPr>
      </w:pPr>
      <w:r w:rsidRPr="008146AF">
        <w:rPr>
          <w:rStyle w:val="Odwoanieprzypisudolnego"/>
        </w:rPr>
        <w:footnoteRef/>
      </w:r>
      <w:r w:rsidRPr="008146AF">
        <w:rPr>
          <w:lang w:val="en-US"/>
        </w:rPr>
        <w:t xml:space="preserve"> International Passenger Survey, Business Visits Statistics, Report 2004, </w:t>
      </w:r>
      <w:r w:rsidRPr="00767161">
        <w:rPr>
          <w:lang w:val="en-US"/>
        </w:rPr>
        <w:t>www.businesstourismpartnership.com</w:t>
      </w:r>
    </w:p>
  </w:footnote>
  <w:footnote w:id="23">
    <w:p w14:paraId="0C3A113C" w14:textId="77777777" w:rsidR="008C15A9" w:rsidRPr="00B151E1" w:rsidRDefault="008C15A9" w:rsidP="000951E8">
      <w:pPr>
        <w:pStyle w:val="Tekstprzypisudolnego"/>
        <w:jc w:val="both"/>
        <w:rPr>
          <w:lang w:val="pl-PL"/>
        </w:rPr>
      </w:pPr>
      <w:r w:rsidRPr="008146AF">
        <w:rPr>
          <w:rStyle w:val="Odwoanieprzypisudolnego"/>
        </w:rPr>
        <w:footnoteRef/>
      </w:r>
      <w:r>
        <w:t xml:space="preserve"> </w:t>
      </w:r>
      <w:r>
        <w:rPr>
          <w:lang w:val="pl-PL"/>
        </w:rPr>
        <w:t>O</w:t>
      </w:r>
      <w:r w:rsidRPr="008146AF">
        <w:t>biekty konferencyjne muszą posiadać sale na minimum 20 osób oraz możliwość teatralnego ustawienia siedzisk</w:t>
      </w:r>
      <w:r>
        <w:rPr>
          <w:lang w:val="pl-PL"/>
        </w:rPr>
        <w:t>.</w:t>
      </w:r>
    </w:p>
  </w:footnote>
  <w:footnote w:id="24">
    <w:p w14:paraId="331ACA52" w14:textId="77777777" w:rsidR="008C15A9" w:rsidRPr="008146AF" w:rsidRDefault="008C15A9" w:rsidP="000951E8">
      <w:pPr>
        <w:pStyle w:val="Tekstprzypisudolnego"/>
        <w:ind w:left="284" w:hanging="284"/>
        <w:jc w:val="both"/>
        <w:rPr>
          <w:i/>
          <w:iCs/>
          <w:lang w:val="en-US"/>
        </w:rPr>
      </w:pPr>
      <w:r w:rsidRPr="008146AF">
        <w:rPr>
          <w:rStyle w:val="Odwoanieprzypisudolnego"/>
        </w:rPr>
        <w:footnoteRef/>
      </w:r>
      <w:r w:rsidRPr="008146AF">
        <w:rPr>
          <w:lang w:val="en-US"/>
        </w:rPr>
        <w:t xml:space="preserve"> Wha-In Lee, B.M. Josiam: </w:t>
      </w:r>
      <w:r w:rsidRPr="008146AF">
        <w:rPr>
          <w:i/>
          <w:iCs/>
          <w:lang w:val="en-US"/>
        </w:rPr>
        <w:t>A Framework For Assessing National Convention Tourism Competitiveness: An Exploratory Study.</w:t>
      </w:r>
      <w:r w:rsidRPr="008146AF">
        <w:rPr>
          <w:lang w:val="en-US"/>
        </w:rPr>
        <w:t xml:space="preserve"> Journal of International Business and Entrepreneurship Development, Vol. 2 No. 2 (Special Issue), pp. 105-112, August 2004</w:t>
      </w:r>
      <w:r>
        <w:rPr>
          <w:lang w:val="en-US"/>
        </w:rPr>
        <w:t>.</w:t>
      </w:r>
    </w:p>
  </w:footnote>
  <w:footnote w:id="25">
    <w:p w14:paraId="2679B171" w14:textId="77777777" w:rsidR="008C15A9" w:rsidRPr="00F57BD5" w:rsidRDefault="008C15A9" w:rsidP="00720400">
      <w:pPr>
        <w:pStyle w:val="Tekstprzypisudolnego"/>
        <w:jc w:val="both"/>
        <w:rPr>
          <w:lang w:val="pl-PL"/>
        </w:rPr>
      </w:pPr>
      <w:r w:rsidRPr="008146AF">
        <w:rPr>
          <w:rStyle w:val="Odwoanieprzypisudolnego"/>
        </w:rPr>
        <w:footnoteRef/>
      </w:r>
      <w:r w:rsidRPr="008146AF">
        <w:t xml:space="preserve"> por. www1.vienna.convention.at </w:t>
      </w:r>
      <w:r>
        <w:rPr>
          <w:lang w:val="pl-PL"/>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6D8E"/>
    <w:multiLevelType w:val="hybridMultilevel"/>
    <w:tmpl w:val="C4D84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65551"/>
    <w:multiLevelType w:val="hybridMultilevel"/>
    <w:tmpl w:val="82662114"/>
    <w:lvl w:ilvl="0" w:tplc="5DF6051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3A7C64AF"/>
    <w:multiLevelType w:val="hybridMultilevel"/>
    <w:tmpl w:val="D852738A"/>
    <w:lvl w:ilvl="0" w:tplc="69B6CD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CDA414E"/>
    <w:multiLevelType w:val="multilevel"/>
    <w:tmpl w:val="BE7AEC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07905DA"/>
    <w:multiLevelType w:val="hybridMultilevel"/>
    <w:tmpl w:val="4036E658"/>
    <w:lvl w:ilvl="0" w:tplc="69B6CD2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C43489"/>
    <w:multiLevelType w:val="hybridMultilevel"/>
    <w:tmpl w:val="35A2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276DD6"/>
    <w:multiLevelType w:val="hybridMultilevel"/>
    <w:tmpl w:val="B2B68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512F8A"/>
    <w:multiLevelType w:val="hybridMultilevel"/>
    <w:tmpl w:val="0DB4223A"/>
    <w:lvl w:ilvl="0" w:tplc="69B6CD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2DC6209"/>
    <w:multiLevelType w:val="hybridMultilevel"/>
    <w:tmpl w:val="7D42B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9C1369"/>
    <w:multiLevelType w:val="hybridMultilevel"/>
    <w:tmpl w:val="CF8479A0"/>
    <w:lvl w:ilvl="0" w:tplc="69B6CD2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8748BF"/>
    <w:multiLevelType w:val="hybridMultilevel"/>
    <w:tmpl w:val="349C9B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7417302"/>
    <w:multiLevelType w:val="hybridMultilevel"/>
    <w:tmpl w:val="E0F4710E"/>
    <w:lvl w:ilvl="0" w:tplc="69B6CD2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96357F"/>
    <w:multiLevelType w:val="hybridMultilevel"/>
    <w:tmpl w:val="FB360CB0"/>
    <w:lvl w:ilvl="0" w:tplc="69B6CD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A8375F7"/>
    <w:multiLevelType w:val="hybridMultilevel"/>
    <w:tmpl w:val="B2B68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921905"/>
    <w:multiLevelType w:val="hybridMultilevel"/>
    <w:tmpl w:val="FC981BC2"/>
    <w:lvl w:ilvl="0" w:tplc="69B6CD2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E531AB"/>
    <w:multiLevelType w:val="hybridMultilevel"/>
    <w:tmpl w:val="544A1B08"/>
    <w:lvl w:ilvl="0" w:tplc="69B6CD2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num>
  <w:num w:numId="4">
    <w:abstractNumId w:val="0"/>
  </w:num>
  <w:num w:numId="5">
    <w:abstractNumId w:val="10"/>
  </w:num>
  <w:num w:numId="6">
    <w:abstractNumId w:val="2"/>
  </w:num>
  <w:num w:numId="7">
    <w:abstractNumId w:val="12"/>
  </w:num>
  <w:num w:numId="8">
    <w:abstractNumId w:val="7"/>
  </w:num>
  <w:num w:numId="9">
    <w:abstractNumId w:val="6"/>
  </w:num>
  <w:num w:numId="10">
    <w:abstractNumId w:val="14"/>
  </w:num>
  <w:num w:numId="11">
    <w:abstractNumId w:val="15"/>
  </w:num>
  <w:num w:numId="12">
    <w:abstractNumId w:val="9"/>
  </w:num>
  <w:num w:numId="13">
    <w:abstractNumId w:val="4"/>
  </w:num>
  <w:num w:numId="14">
    <w:abstractNumId w:val="11"/>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E8"/>
    <w:rsid w:val="0002026E"/>
    <w:rsid w:val="00077CCC"/>
    <w:rsid w:val="00092A1A"/>
    <w:rsid w:val="000951E8"/>
    <w:rsid w:val="000F78FE"/>
    <w:rsid w:val="00116B6E"/>
    <w:rsid w:val="0018078C"/>
    <w:rsid w:val="00192E1F"/>
    <w:rsid w:val="001967F3"/>
    <w:rsid w:val="001F5A88"/>
    <w:rsid w:val="00200229"/>
    <w:rsid w:val="00221A17"/>
    <w:rsid w:val="00245910"/>
    <w:rsid w:val="00254FA1"/>
    <w:rsid w:val="002D033D"/>
    <w:rsid w:val="003001E7"/>
    <w:rsid w:val="00393EC7"/>
    <w:rsid w:val="003D3A6F"/>
    <w:rsid w:val="00414A11"/>
    <w:rsid w:val="00425C88"/>
    <w:rsid w:val="004B1B73"/>
    <w:rsid w:val="00536559"/>
    <w:rsid w:val="00587140"/>
    <w:rsid w:val="005B09B6"/>
    <w:rsid w:val="005F7E1A"/>
    <w:rsid w:val="00720400"/>
    <w:rsid w:val="00767161"/>
    <w:rsid w:val="008143A0"/>
    <w:rsid w:val="00817505"/>
    <w:rsid w:val="008C15A9"/>
    <w:rsid w:val="008C5D57"/>
    <w:rsid w:val="0091053A"/>
    <w:rsid w:val="00916C55"/>
    <w:rsid w:val="00940200"/>
    <w:rsid w:val="00A42FDF"/>
    <w:rsid w:val="00AA5E7A"/>
    <w:rsid w:val="00BB183A"/>
    <w:rsid w:val="00CE678A"/>
    <w:rsid w:val="00D44B3D"/>
    <w:rsid w:val="00F10C88"/>
    <w:rsid w:val="00F17EDD"/>
    <w:rsid w:val="00F60C6F"/>
    <w:rsid w:val="00F74149"/>
    <w:rsid w:val="00F976F1"/>
    <w:rsid w:val="00FD0B67"/>
    <w:rsid w:val="00FD7009"/>
    <w:rsid w:val="00FF690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BAE0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paragraph" w:styleId="Nagwek3">
    <w:name w:val="heading 3"/>
    <w:basedOn w:val="Normalny"/>
    <w:next w:val="Normalny"/>
    <w:link w:val="Nagwek3Znak"/>
    <w:qFormat/>
    <w:rsid w:val="000951E8"/>
    <w:pPr>
      <w:keepNext/>
      <w:spacing w:before="240" w:after="60"/>
      <w:outlineLvl w:val="2"/>
    </w:pPr>
    <w:rPr>
      <w:rFonts w:ascii="Arial" w:eastAsia="Times New Roman" w:hAnsi="Arial" w:cs="Times New Roman"/>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0951E8"/>
    <w:rPr>
      <w:rFonts w:ascii="Arial" w:eastAsia="Times New Roman" w:hAnsi="Arial" w:cs="Times New Roman"/>
      <w:b/>
      <w:bCs/>
      <w:sz w:val="26"/>
      <w:szCs w:val="26"/>
      <w:lang w:val="x-none" w:eastAsia="x-none"/>
    </w:rPr>
  </w:style>
  <w:style w:type="character" w:styleId="Hipercze">
    <w:name w:val="Hyperlink"/>
    <w:uiPriority w:val="99"/>
    <w:rsid w:val="000951E8"/>
    <w:rPr>
      <w:color w:val="0000FF"/>
      <w:u w:val="single"/>
    </w:rPr>
  </w:style>
  <w:style w:type="paragraph" w:styleId="Tekstprzypisudolnego">
    <w:name w:val="footnote text"/>
    <w:basedOn w:val="Normalny"/>
    <w:link w:val="TekstprzypisudolnegoZnak"/>
    <w:rsid w:val="000951E8"/>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rsid w:val="000951E8"/>
    <w:rPr>
      <w:rFonts w:ascii="Times New Roman" w:eastAsia="Times New Roman" w:hAnsi="Times New Roman" w:cs="Times New Roman"/>
      <w:sz w:val="20"/>
      <w:szCs w:val="20"/>
      <w:lang w:val="x-none" w:eastAsia="x-none"/>
    </w:rPr>
  </w:style>
  <w:style w:type="character" w:styleId="Odwoanieprzypisudolnego">
    <w:name w:val="footnote reference"/>
    <w:semiHidden/>
    <w:rsid w:val="000951E8"/>
    <w:rPr>
      <w:vertAlign w:val="superscript"/>
    </w:rPr>
  </w:style>
  <w:style w:type="paragraph" w:styleId="Napis">
    <w:name w:val="caption"/>
    <w:basedOn w:val="Normalny"/>
    <w:next w:val="Normalny"/>
    <w:qFormat/>
    <w:rsid w:val="000951E8"/>
    <w:pPr>
      <w:keepNext/>
      <w:spacing w:before="120" w:after="120"/>
      <w:jc w:val="center"/>
    </w:pPr>
    <w:rPr>
      <w:rFonts w:ascii="Times New Roman" w:eastAsia="Times New Roman" w:hAnsi="Times New Roman" w:cs="Times New Roman"/>
      <w:bCs/>
    </w:rPr>
  </w:style>
  <w:style w:type="paragraph" w:styleId="Tekstdymka">
    <w:name w:val="Balloon Text"/>
    <w:basedOn w:val="Normalny"/>
    <w:link w:val="TekstdymkaZnak"/>
    <w:uiPriority w:val="99"/>
    <w:semiHidden/>
    <w:unhideWhenUsed/>
    <w:rsid w:val="000951E8"/>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0951E8"/>
    <w:rPr>
      <w:rFonts w:ascii="Lucida Grande CE" w:hAnsi="Lucida Grande CE" w:cs="Lucida Grande CE"/>
      <w:sz w:val="18"/>
      <w:szCs w:val="18"/>
      <w:lang w:val="pl-PL"/>
    </w:rPr>
  </w:style>
  <w:style w:type="paragraph" w:styleId="Akapitzlist">
    <w:name w:val="List Paragraph"/>
    <w:basedOn w:val="Normalny"/>
    <w:uiPriority w:val="34"/>
    <w:qFormat/>
    <w:rsid w:val="002D033D"/>
    <w:pPr>
      <w:ind w:left="720"/>
      <w:contextualSpacing/>
    </w:pPr>
  </w:style>
  <w:style w:type="character" w:styleId="Uytehipercze">
    <w:name w:val="FollowedHyperlink"/>
    <w:basedOn w:val="Domylnaczcionkaakapitu"/>
    <w:uiPriority w:val="99"/>
    <w:semiHidden/>
    <w:unhideWhenUsed/>
    <w:rsid w:val="00767161"/>
    <w:rPr>
      <w:color w:val="800080" w:themeColor="followedHyperlink"/>
      <w:u w:val="single"/>
    </w:rPr>
  </w:style>
  <w:style w:type="paragraph" w:styleId="Stopka">
    <w:name w:val="footer"/>
    <w:basedOn w:val="Normalny"/>
    <w:link w:val="StopkaZnak"/>
    <w:uiPriority w:val="99"/>
    <w:unhideWhenUsed/>
    <w:rsid w:val="00116B6E"/>
    <w:pPr>
      <w:tabs>
        <w:tab w:val="center" w:pos="4536"/>
        <w:tab w:val="right" w:pos="9072"/>
      </w:tabs>
    </w:pPr>
  </w:style>
  <w:style w:type="character" w:customStyle="1" w:styleId="StopkaZnak">
    <w:name w:val="Stopka Znak"/>
    <w:basedOn w:val="Domylnaczcionkaakapitu"/>
    <w:link w:val="Stopka"/>
    <w:uiPriority w:val="99"/>
    <w:rsid w:val="00116B6E"/>
    <w:rPr>
      <w:lang w:val="pl-PL"/>
    </w:rPr>
  </w:style>
  <w:style w:type="character" w:styleId="Numerstrony">
    <w:name w:val="page number"/>
    <w:basedOn w:val="Domylnaczcionkaakapitu"/>
    <w:uiPriority w:val="99"/>
    <w:semiHidden/>
    <w:unhideWhenUsed/>
    <w:rsid w:val="00116B6E"/>
  </w:style>
  <w:style w:type="paragraph" w:styleId="NormalnyWeb">
    <w:name w:val="Normal (Web)"/>
    <w:basedOn w:val="Normalny"/>
    <w:uiPriority w:val="99"/>
    <w:unhideWhenUsed/>
    <w:rsid w:val="00A42FDF"/>
    <w:pPr>
      <w:spacing w:before="100" w:beforeAutospacing="1" w:after="100" w:afterAutospacing="1"/>
    </w:pPr>
    <w:rPr>
      <w:rFonts w:ascii="Times" w:hAnsi="Times" w:cs="Times New Roman"/>
      <w:sz w:val="20"/>
      <w:szCs w:val="20"/>
      <w:lang w:val="cs-C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paragraph" w:styleId="Nagwek3">
    <w:name w:val="heading 3"/>
    <w:basedOn w:val="Normalny"/>
    <w:next w:val="Normalny"/>
    <w:link w:val="Nagwek3Znak"/>
    <w:qFormat/>
    <w:rsid w:val="000951E8"/>
    <w:pPr>
      <w:keepNext/>
      <w:spacing w:before="240" w:after="60"/>
      <w:outlineLvl w:val="2"/>
    </w:pPr>
    <w:rPr>
      <w:rFonts w:ascii="Arial" w:eastAsia="Times New Roman" w:hAnsi="Arial" w:cs="Times New Roman"/>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0951E8"/>
    <w:rPr>
      <w:rFonts w:ascii="Arial" w:eastAsia="Times New Roman" w:hAnsi="Arial" w:cs="Times New Roman"/>
      <w:b/>
      <w:bCs/>
      <w:sz w:val="26"/>
      <w:szCs w:val="26"/>
      <w:lang w:val="x-none" w:eastAsia="x-none"/>
    </w:rPr>
  </w:style>
  <w:style w:type="character" w:styleId="Hipercze">
    <w:name w:val="Hyperlink"/>
    <w:uiPriority w:val="99"/>
    <w:rsid w:val="000951E8"/>
    <w:rPr>
      <w:color w:val="0000FF"/>
      <w:u w:val="single"/>
    </w:rPr>
  </w:style>
  <w:style w:type="paragraph" w:styleId="Tekstprzypisudolnego">
    <w:name w:val="footnote text"/>
    <w:basedOn w:val="Normalny"/>
    <w:link w:val="TekstprzypisudolnegoZnak"/>
    <w:rsid w:val="000951E8"/>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rsid w:val="000951E8"/>
    <w:rPr>
      <w:rFonts w:ascii="Times New Roman" w:eastAsia="Times New Roman" w:hAnsi="Times New Roman" w:cs="Times New Roman"/>
      <w:sz w:val="20"/>
      <w:szCs w:val="20"/>
      <w:lang w:val="x-none" w:eastAsia="x-none"/>
    </w:rPr>
  </w:style>
  <w:style w:type="character" w:styleId="Odwoanieprzypisudolnego">
    <w:name w:val="footnote reference"/>
    <w:semiHidden/>
    <w:rsid w:val="000951E8"/>
    <w:rPr>
      <w:vertAlign w:val="superscript"/>
    </w:rPr>
  </w:style>
  <w:style w:type="paragraph" w:styleId="Napis">
    <w:name w:val="caption"/>
    <w:basedOn w:val="Normalny"/>
    <w:next w:val="Normalny"/>
    <w:qFormat/>
    <w:rsid w:val="000951E8"/>
    <w:pPr>
      <w:keepNext/>
      <w:spacing w:before="120" w:after="120"/>
      <w:jc w:val="center"/>
    </w:pPr>
    <w:rPr>
      <w:rFonts w:ascii="Times New Roman" w:eastAsia="Times New Roman" w:hAnsi="Times New Roman" w:cs="Times New Roman"/>
      <w:bCs/>
    </w:rPr>
  </w:style>
  <w:style w:type="paragraph" w:styleId="Tekstdymka">
    <w:name w:val="Balloon Text"/>
    <w:basedOn w:val="Normalny"/>
    <w:link w:val="TekstdymkaZnak"/>
    <w:uiPriority w:val="99"/>
    <w:semiHidden/>
    <w:unhideWhenUsed/>
    <w:rsid w:val="000951E8"/>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0951E8"/>
    <w:rPr>
      <w:rFonts w:ascii="Lucida Grande CE" w:hAnsi="Lucida Grande CE" w:cs="Lucida Grande CE"/>
      <w:sz w:val="18"/>
      <w:szCs w:val="18"/>
      <w:lang w:val="pl-PL"/>
    </w:rPr>
  </w:style>
  <w:style w:type="paragraph" w:styleId="Akapitzlist">
    <w:name w:val="List Paragraph"/>
    <w:basedOn w:val="Normalny"/>
    <w:uiPriority w:val="34"/>
    <w:qFormat/>
    <w:rsid w:val="002D033D"/>
    <w:pPr>
      <w:ind w:left="720"/>
      <w:contextualSpacing/>
    </w:pPr>
  </w:style>
  <w:style w:type="character" w:styleId="Uytehipercze">
    <w:name w:val="FollowedHyperlink"/>
    <w:basedOn w:val="Domylnaczcionkaakapitu"/>
    <w:uiPriority w:val="99"/>
    <w:semiHidden/>
    <w:unhideWhenUsed/>
    <w:rsid w:val="00767161"/>
    <w:rPr>
      <w:color w:val="800080" w:themeColor="followedHyperlink"/>
      <w:u w:val="single"/>
    </w:rPr>
  </w:style>
  <w:style w:type="paragraph" w:styleId="Stopka">
    <w:name w:val="footer"/>
    <w:basedOn w:val="Normalny"/>
    <w:link w:val="StopkaZnak"/>
    <w:uiPriority w:val="99"/>
    <w:unhideWhenUsed/>
    <w:rsid w:val="00116B6E"/>
    <w:pPr>
      <w:tabs>
        <w:tab w:val="center" w:pos="4536"/>
        <w:tab w:val="right" w:pos="9072"/>
      </w:tabs>
    </w:pPr>
  </w:style>
  <w:style w:type="character" w:customStyle="1" w:styleId="StopkaZnak">
    <w:name w:val="Stopka Znak"/>
    <w:basedOn w:val="Domylnaczcionkaakapitu"/>
    <w:link w:val="Stopka"/>
    <w:uiPriority w:val="99"/>
    <w:rsid w:val="00116B6E"/>
    <w:rPr>
      <w:lang w:val="pl-PL"/>
    </w:rPr>
  </w:style>
  <w:style w:type="character" w:styleId="Numerstrony">
    <w:name w:val="page number"/>
    <w:basedOn w:val="Domylnaczcionkaakapitu"/>
    <w:uiPriority w:val="99"/>
    <w:semiHidden/>
    <w:unhideWhenUsed/>
    <w:rsid w:val="00116B6E"/>
  </w:style>
  <w:style w:type="paragraph" w:styleId="NormalnyWeb">
    <w:name w:val="Normal (Web)"/>
    <w:basedOn w:val="Normalny"/>
    <w:uiPriority w:val="99"/>
    <w:unhideWhenUsed/>
    <w:rsid w:val="00A42FDF"/>
    <w:pPr>
      <w:spacing w:before="100" w:beforeAutospacing="1" w:after="100" w:afterAutospacing="1"/>
    </w:pPr>
    <w:rPr>
      <w:rFonts w:ascii="Times" w:hAnsi="Times" w:cs="Times New Roman"/>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24734">
      <w:bodyDiv w:val="1"/>
      <w:marLeft w:val="0"/>
      <w:marRight w:val="0"/>
      <w:marTop w:val="0"/>
      <w:marBottom w:val="0"/>
      <w:divBdr>
        <w:top w:val="none" w:sz="0" w:space="0" w:color="auto"/>
        <w:left w:val="none" w:sz="0" w:space="0" w:color="auto"/>
        <w:bottom w:val="none" w:sz="0" w:space="0" w:color="auto"/>
        <w:right w:val="none" w:sz="0" w:space="0" w:color="auto"/>
      </w:divBdr>
    </w:div>
    <w:div w:id="736198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ourismvancouver.com/docs/help/research" TargetMode="External"/><Relationship Id="rId9" Type="http://schemas.openxmlformats.org/officeDocument/2006/relationships/hyperlink" Target="http://www.imex-frankfurt.com" TargetMode="External"/><Relationship Id="rId10"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17</Pages>
  <Words>4590</Words>
  <Characters>30576</Characters>
  <Application>Microsoft Macintosh Word</Application>
  <DocSecurity>0</DocSecurity>
  <Lines>826</Lines>
  <Paragraphs>418</Paragraphs>
  <ScaleCrop>false</ScaleCrop>
  <HeadingPairs>
    <vt:vector size="2" baseType="variant">
      <vt:variant>
        <vt:lpstr>Tytuł</vt:lpstr>
      </vt:variant>
      <vt:variant>
        <vt:i4>1</vt:i4>
      </vt:variant>
    </vt:vector>
  </HeadingPairs>
  <TitlesOfParts>
    <vt:vector size="1" baseType="lpstr">
      <vt:lpstr/>
    </vt:vector>
  </TitlesOfParts>
  <Manager/>
  <Company>Business Destinantion Alliance</Company>
  <LinksUpToDate>false</LinksUpToDate>
  <CharactersWithSpaces>34748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Cieślikowski</dc:creator>
  <cp:keywords/>
  <dc:description/>
  <cp:lastModifiedBy>Krzysztof Cieślikowski</cp:lastModifiedBy>
  <cp:revision>7</cp:revision>
  <dcterms:created xsi:type="dcterms:W3CDTF">2014-04-04T00:55:00Z</dcterms:created>
  <dcterms:modified xsi:type="dcterms:W3CDTF">2014-04-04T01:58:00Z</dcterms:modified>
  <cp:category/>
</cp:coreProperties>
</file>